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46FA" w:rsidRPr="00AD4CE9" w:rsidRDefault="000E46FA" w:rsidP="00715B59">
      <w:pPr>
        <w:spacing w:before="0" w:after="0" w:line="228" w:lineRule="auto"/>
        <w:jc w:val="both"/>
        <w:rPr>
          <w:rFonts w:ascii="Tahoma" w:hAnsi="Tahoma" w:cs="Tahoma"/>
        </w:rPr>
      </w:pPr>
      <w:bookmarkStart w:id="0" w:name="_GoBack"/>
      <w:bookmarkEnd w:id="0"/>
    </w:p>
    <w:p w:rsidR="0067758A" w:rsidRDefault="0067758A" w:rsidP="000F1700">
      <w:pPr>
        <w:pStyle w:val="Prrafodelista"/>
        <w:numPr>
          <w:ilvl w:val="0"/>
          <w:numId w:val="1"/>
        </w:numPr>
        <w:spacing w:before="0" w:after="0" w:line="228" w:lineRule="auto"/>
        <w:rPr>
          <w:rFonts w:ascii="Tahoma" w:hAnsi="Tahoma" w:cs="Tahoma"/>
          <w:b/>
        </w:rPr>
      </w:pPr>
      <w:r w:rsidRPr="00AD4CE9">
        <w:rPr>
          <w:rFonts w:ascii="Tahoma" w:hAnsi="Tahoma" w:cs="Tahoma"/>
          <w:b/>
        </w:rPr>
        <w:t xml:space="preserve">BALANCE GENERAL COMPARATIVO </w:t>
      </w: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9C4C61" w:rsidP="00AD4CE9">
      <w:pPr>
        <w:spacing w:before="0" w:after="0" w:line="228" w:lineRule="auto"/>
        <w:rPr>
          <w:rFonts w:ascii="Tahoma" w:hAnsi="Tahoma" w:cs="Tahoma"/>
          <w:noProof/>
        </w:rPr>
      </w:pPr>
      <w:r w:rsidRPr="009C4C61">
        <w:rPr>
          <w:noProof/>
        </w:rPr>
        <w:drawing>
          <wp:inline distT="0" distB="0" distL="0" distR="0" wp14:anchorId="067D53FB" wp14:editId="110B739E">
            <wp:extent cx="5613400" cy="4786795"/>
            <wp:effectExtent l="0" t="0" r="635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4786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BC5D7D" w:rsidRDefault="009C4C61" w:rsidP="00AD4CE9">
      <w:pPr>
        <w:spacing w:before="0" w:after="0" w:line="228" w:lineRule="auto"/>
        <w:rPr>
          <w:noProof/>
        </w:rPr>
      </w:pPr>
      <w:r>
        <w:rPr>
          <w:noProof/>
        </w:rPr>
        <w:drawing>
          <wp:inline distT="0" distB="0" distL="0" distR="0" wp14:anchorId="37203F87">
            <wp:extent cx="4433011" cy="2812076"/>
            <wp:effectExtent l="0" t="0" r="5715" b="762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9369" cy="28161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56475" w:rsidRDefault="00F56475" w:rsidP="00AD4CE9">
      <w:pPr>
        <w:spacing w:before="0" w:after="0" w:line="228" w:lineRule="auto"/>
        <w:rPr>
          <w:rFonts w:ascii="Tahoma" w:hAnsi="Tahoma" w:cs="Tahoma"/>
        </w:rPr>
      </w:pPr>
    </w:p>
    <w:p w:rsidR="00F56475" w:rsidRDefault="00F56475" w:rsidP="00AD4CE9">
      <w:pPr>
        <w:spacing w:before="0" w:after="0" w:line="228" w:lineRule="auto"/>
        <w:rPr>
          <w:rFonts w:ascii="Tahoma" w:hAnsi="Tahoma" w:cs="Tahoma"/>
        </w:rPr>
      </w:pPr>
    </w:p>
    <w:p w:rsidR="00DC4D50" w:rsidRPr="009C4C61" w:rsidRDefault="009C4C61" w:rsidP="006432CC">
      <w:pPr>
        <w:spacing w:before="0" w:after="0" w:line="228" w:lineRule="auto"/>
        <w:jc w:val="both"/>
        <w:rPr>
          <w:rFonts w:ascii="Tahoma" w:hAnsi="Tahoma" w:cs="Tahoma"/>
          <w:color w:val="auto"/>
        </w:rPr>
      </w:pPr>
      <w:r w:rsidRPr="009C4C61">
        <w:rPr>
          <w:rFonts w:ascii="Tahoma" w:hAnsi="Tahoma" w:cs="Tahoma"/>
          <w:color w:val="auto"/>
        </w:rPr>
        <w:t>El Municipio de Villahermosa Tolima</w:t>
      </w:r>
      <w:r w:rsidR="00DC4D50" w:rsidRPr="009C4C61">
        <w:rPr>
          <w:rFonts w:ascii="Tahoma" w:hAnsi="Tahoma" w:cs="Tahoma"/>
          <w:color w:val="auto"/>
        </w:rPr>
        <w:t>, a 31 de diciembre de 2015 refleja en el Balance General Consolidado</w:t>
      </w:r>
      <w:r w:rsidR="00650CCF">
        <w:rPr>
          <w:rFonts w:ascii="Tahoma" w:hAnsi="Tahoma" w:cs="Tahoma"/>
          <w:color w:val="auto"/>
        </w:rPr>
        <w:t xml:space="preserve"> (2014-2015)</w:t>
      </w:r>
      <w:r w:rsidR="00DC4D50" w:rsidRPr="009C4C61">
        <w:rPr>
          <w:rFonts w:ascii="Tahoma" w:hAnsi="Tahoma" w:cs="Tahoma"/>
          <w:color w:val="auto"/>
        </w:rPr>
        <w:t xml:space="preserve">, </w:t>
      </w:r>
      <w:r w:rsidRPr="009C4C61">
        <w:rPr>
          <w:rFonts w:ascii="Tahoma" w:hAnsi="Tahoma" w:cs="Tahoma"/>
          <w:color w:val="auto"/>
        </w:rPr>
        <w:t>Activos en cuantía de $9.762 millones; Pasivos  de $332.3</w:t>
      </w:r>
      <w:r w:rsidR="006432CC" w:rsidRPr="009C4C61">
        <w:rPr>
          <w:rFonts w:ascii="Tahoma" w:hAnsi="Tahoma" w:cs="Tahoma"/>
          <w:color w:val="auto"/>
        </w:rPr>
        <w:t xml:space="preserve"> mi</w:t>
      </w:r>
      <w:r w:rsidRPr="009C4C61">
        <w:rPr>
          <w:rFonts w:ascii="Tahoma" w:hAnsi="Tahoma" w:cs="Tahoma"/>
          <w:color w:val="auto"/>
        </w:rPr>
        <w:t>llones y Patrimonio de $9.429,7 millones. Los activos y el patrimonio reflejan reducción en los saldos entre el 2014 y el 2015 de -20.69% y -21.46% mientras que el pasivo incremento el saldo en un 9.57 % representados en $29 millones.</w:t>
      </w:r>
    </w:p>
    <w:p w:rsidR="009C4C61" w:rsidRDefault="009C4C61" w:rsidP="006432CC">
      <w:pPr>
        <w:spacing w:before="0" w:after="0" w:line="228" w:lineRule="auto"/>
        <w:jc w:val="both"/>
        <w:rPr>
          <w:rFonts w:ascii="Tahoma" w:hAnsi="Tahoma" w:cs="Tahoma"/>
          <w:color w:val="FF0000"/>
        </w:rPr>
      </w:pPr>
    </w:p>
    <w:p w:rsidR="00D737A1" w:rsidRPr="002A1F63" w:rsidRDefault="00D737A1" w:rsidP="006432CC">
      <w:pPr>
        <w:spacing w:before="0" w:after="0" w:line="228" w:lineRule="auto"/>
        <w:jc w:val="both"/>
        <w:rPr>
          <w:rFonts w:ascii="Tahoma" w:hAnsi="Tahoma" w:cs="Tahoma"/>
          <w:color w:val="auto"/>
        </w:rPr>
      </w:pPr>
      <w:r w:rsidRPr="002A1F63">
        <w:rPr>
          <w:rFonts w:ascii="Tahoma" w:hAnsi="Tahoma" w:cs="Tahoma"/>
          <w:color w:val="auto"/>
        </w:rPr>
        <w:t>Dentro de los Activos del M</w:t>
      </w:r>
      <w:r w:rsidR="002A1F63" w:rsidRPr="002A1F63">
        <w:rPr>
          <w:rFonts w:ascii="Tahoma" w:hAnsi="Tahoma" w:cs="Tahoma"/>
          <w:color w:val="auto"/>
        </w:rPr>
        <w:t>unicipio, se encuentra el</w:t>
      </w:r>
      <w:r w:rsidRPr="002A1F63">
        <w:rPr>
          <w:rFonts w:ascii="Tahoma" w:hAnsi="Tahoma" w:cs="Tahoma"/>
          <w:color w:val="auto"/>
        </w:rPr>
        <w:t xml:space="preserve"> Efectivo cuya representatividad tan solo alcanza el 3.78%</w:t>
      </w:r>
      <w:r w:rsidR="002A1F63" w:rsidRPr="002A1F63">
        <w:rPr>
          <w:rFonts w:ascii="Tahoma" w:hAnsi="Tahoma" w:cs="Tahoma"/>
          <w:color w:val="auto"/>
        </w:rPr>
        <w:t>, cuenta que presentó</w:t>
      </w:r>
      <w:r w:rsidRPr="002A1F63">
        <w:rPr>
          <w:rFonts w:ascii="Tahoma" w:hAnsi="Tahoma" w:cs="Tahoma"/>
          <w:color w:val="auto"/>
        </w:rPr>
        <w:t xml:space="preserve"> una disminución en el saldo del 82.12% ($1.739,3 </w:t>
      </w:r>
      <w:r w:rsidR="002A1F63" w:rsidRPr="002A1F63">
        <w:rPr>
          <w:rFonts w:ascii="Tahoma" w:hAnsi="Tahoma" w:cs="Tahoma"/>
          <w:color w:val="auto"/>
        </w:rPr>
        <w:t>millones</w:t>
      </w:r>
      <w:r w:rsidRPr="002A1F63">
        <w:rPr>
          <w:rFonts w:ascii="Tahoma" w:hAnsi="Tahoma" w:cs="Tahoma"/>
          <w:color w:val="auto"/>
        </w:rPr>
        <w:t xml:space="preserve">) </w:t>
      </w:r>
      <w:r w:rsidR="002A1F63" w:rsidRPr="002A1F63">
        <w:rPr>
          <w:rFonts w:ascii="Tahoma" w:hAnsi="Tahoma" w:cs="Tahoma"/>
          <w:color w:val="auto"/>
        </w:rPr>
        <w:t xml:space="preserve">pasando de un </w:t>
      </w:r>
      <w:r w:rsidRPr="002A1F63">
        <w:rPr>
          <w:rFonts w:ascii="Tahoma" w:hAnsi="Tahoma" w:cs="Tahoma"/>
          <w:color w:val="auto"/>
        </w:rPr>
        <w:t xml:space="preserve">saldo  en el 2014 de $2.118 millones a </w:t>
      </w:r>
      <w:r w:rsidR="002A1F63" w:rsidRPr="002A1F63">
        <w:rPr>
          <w:rFonts w:ascii="Tahoma" w:hAnsi="Tahoma" w:cs="Tahoma"/>
          <w:color w:val="auto"/>
        </w:rPr>
        <w:t>$378,7 millones en el 2015, al cierre de la vigencia estaba conformado de la siguiente manera: El 0.6% por recursos en caja que no fueron legalizados antes de finalizar vigencia, el 15.86%($60 millones) depositados en cuentas corrientes y el 83.52% ($316,3 millones) en cuentas de ahorro.</w:t>
      </w:r>
    </w:p>
    <w:p w:rsidR="002A1F63" w:rsidRDefault="002A1F63" w:rsidP="006432CC">
      <w:pPr>
        <w:spacing w:before="0" w:after="0" w:line="228" w:lineRule="auto"/>
        <w:jc w:val="both"/>
        <w:rPr>
          <w:rFonts w:ascii="Tahoma" w:hAnsi="Tahoma" w:cs="Tahoma"/>
          <w:color w:val="FF0000"/>
        </w:rPr>
      </w:pPr>
    </w:p>
    <w:p w:rsidR="002A1F63" w:rsidRPr="003248EC" w:rsidRDefault="002A1F63" w:rsidP="006432CC">
      <w:pPr>
        <w:spacing w:before="0" w:after="0" w:line="228" w:lineRule="auto"/>
        <w:jc w:val="both"/>
        <w:rPr>
          <w:rFonts w:ascii="Tahoma" w:hAnsi="Tahoma" w:cs="Tahoma"/>
          <w:color w:val="auto"/>
        </w:rPr>
      </w:pPr>
      <w:r w:rsidRPr="003248EC">
        <w:rPr>
          <w:rFonts w:ascii="Tahoma" w:hAnsi="Tahoma" w:cs="Tahoma"/>
          <w:color w:val="auto"/>
        </w:rPr>
        <w:t xml:space="preserve">Las Rentas por cobrar representan </w:t>
      </w:r>
      <w:r w:rsidR="003248EC" w:rsidRPr="003248EC">
        <w:rPr>
          <w:rFonts w:ascii="Tahoma" w:hAnsi="Tahoma" w:cs="Tahoma"/>
          <w:color w:val="auto"/>
        </w:rPr>
        <w:t>el 7.3% del valor total del efectivo,  en el periodo analizado 2014-2015, la cuenta presentó  una disminución en el  saldo del 22.76% ($209,9 millones), pasando de un saldo de $922,8 millones en el 2014 a $712,8 millones en el 2015.  El 97.48% del valor de las Rentas por Cobrar corresponden a vigencias anteriores, cuenta que incremento el saldo del 2014 ($625,2 millones) en un 11.15% finalizando la vigencia con un saldo de $694,9 millones.</w:t>
      </w:r>
    </w:p>
    <w:p w:rsidR="003248EC" w:rsidRDefault="003248EC" w:rsidP="006432CC">
      <w:pPr>
        <w:spacing w:before="0" w:after="0" w:line="228" w:lineRule="auto"/>
        <w:jc w:val="both"/>
        <w:rPr>
          <w:rFonts w:ascii="Tahoma" w:hAnsi="Tahoma" w:cs="Tahoma"/>
          <w:color w:val="FF0000"/>
        </w:rPr>
      </w:pPr>
    </w:p>
    <w:p w:rsidR="002A1F63" w:rsidRDefault="002A1F63" w:rsidP="006432CC">
      <w:pPr>
        <w:spacing w:before="0" w:after="0" w:line="228" w:lineRule="auto"/>
        <w:jc w:val="both"/>
        <w:rPr>
          <w:rFonts w:ascii="Tahoma" w:hAnsi="Tahoma" w:cs="Tahoma"/>
          <w:color w:val="FF0000"/>
        </w:rPr>
      </w:pPr>
    </w:p>
    <w:p w:rsidR="002A1F63" w:rsidRPr="009C4C61" w:rsidRDefault="002A1F63" w:rsidP="006432CC">
      <w:pPr>
        <w:spacing w:before="0" w:after="0" w:line="228" w:lineRule="auto"/>
        <w:jc w:val="both"/>
        <w:rPr>
          <w:rFonts w:ascii="Tahoma" w:hAnsi="Tahoma" w:cs="Tahoma"/>
          <w:color w:val="FF0000"/>
        </w:rPr>
      </w:pPr>
    </w:p>
    <w:p w:rsidR="00D9131A" w:rsidRPr="009C4C61" w:rsidRDefault="00D9131A" w:rsidP="006432CC">
      <w:pPr>
        <w:spacing w:before="0" w:after="0" w:line="228" w:lineRule="auto"/>
        <w:jc w:val="both"/>
        <w:rPr>
          <w:rFonts w:ascii="Tahoma" w:hAnsi="Tahoma" w:cs="Tahoma"/>
          <w:color w:val="FF0000"/>
        </w:rPr>
      </w:pPr>
    </w:p>
    <w:p w:rsidR="00D9131A" w:rsidRPr="002D1F42" w:rsidRDefault="002D1F42" w:rsidP="006432CC">
      <w:pPr>
        <w:spacing w:before="0" w:after="0" w:line="228" w:lineRule="auto"/>
        <w:jc w:val="both"/>
        <w:rPr>
          <w:rFonts w:ascii="Tahoma" w:hAnsi="Tahoma" w:cs="Tahoma"/>
          <w:color w:val="auto"/>
        </w:rPr>
      </w:pPr>
      <w:r w:rsidRPr="002D1F42">
        <w:rPr>
          <w:rFonts w:ascii="Tahoma" w:hAnsi="Tahoma" w:cs="Tahoma"/>
          <w:color w:val="auto"/>
        </w:rPr>
        <w:t>La cuenta “Deudores</w:t>
      </w:r>
      <w:r w:rsidR="00D9131A" w:rsidRPr="002D1F42">
        <w:rPr>
          <w:rFonts w:ascii="Tahoma" w:hAnsi="Tahoma" w:cs="Tahoma"/>
          <w:color w:val="auto"/>
        </w:rPr>
        <w:t>” presenta una disminu</w:t>
      </w:r>
      <w:r w:rsidRPr="002D1F42">
        <w:rPr>
          <w:rFonts w:ascii="Tahoma" w:hAnsi="Tahoma" w:cs="Tahoma"/>
          <w:color w:val="auto"/>
        </w:rPr>
        <w:t>ción del 2014 al 2015 de $2.963,9</w:t>
      </w:r>
      <w:r w:rsidR="00D9131A" w:rsidRPr="002D1F42">
        <w:rPr>
          <w:rFonts w:ascii="Tahoma" w:hAnsi="Tahoma" w:cs="Tahoma"/>
          <w:color w:val="auto"/>
        </w:rPr>
        <w:t xml:space="preserve"> mi</w:t>
      </w:r>
      <w:r w:rsidRPr="002D1F42">
        <w:rPr>
          <w:rFonts w:ascii="Tahoma" w:hAnsi="Tahoma" w:cs="Tahoma"/>
          <w:color w:val="auto"/>
        </w:rPr>
        <w:t>llones representados en el 82.73</w:t>
      </w:r>
      <w:r w:rsidR="00D9131A" w:rsidRPr="002D1F42">
        <w:rPr>
          <w:rFonts w:ascii="Tahoma" w:hAnsi="Tahoma" w:cs="Tahoma"/>
          <w:color w:val="auto"/>
        </w:rPr>
        <w:t>%, finalizando de esta forma la vige</w:t>
      </w:r>
      <w:r w:rsidRPr="002D1F42">
        <w:rPr>
          <w:rFonts w:ascii="Tahoma" w:hAnsi="Tahoma" w:cs="Tahoma"/>
          <w:color w:val="auto"/>
        </w:rPr>
        <w:t>ncia 2015 con un saldo de $618,5</w:t>
      </w:r>
      <w:r w:rsidR="00D9131A" w:rsidRPr="002D1F42">
        <w:rPr>
          <w:rFonts w:ascii="Tahoma" w:hAnsi="Tahoma" w:cs="Tahoma"/>
          <w:color w:val="auto"/>
        </w:rPr>
        <w:t xml:space="preserve"> millones.</w:t>
      </w:r>
    </w:p>
    <w:p w:rsidR="002D1F42" w:rsidRDefault="002D1F42" w:rsidP="006432CC">
      <w:pPr>
        <w:spacing w:before="0" w:after="0" w:line="228" w:lineRule="auto"/>
        <w:jc w:val="both"/>
        <w:rPr>
          <w:rFonts w:ascii="Tahoma" w:hAnsi="Tahoma" w:cs="Tahoma"/>
        </w:rPr>
      </w:pPr>
    </w:p>
    <w:p w:rsidR="00D9131A" w:rsidRDefault="00D9131A" w:rsidP="006432CC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En cuanto a la Propiedad, Planta y Equipo, el compor</w:t>
      </w:r>
      <w:r w:rsidR="002D1F42">
        <w:rPr>
          <w:rFonts w:ascii="Tahoma" w:hAnsi="Tahoma" w:cs="Tahoma"/>
        </w:rPr>
        <w:t>tamiento fue negativo del (-6.77%) pasando de $3.228,8 millones en el (2014) a $3.010,2</w:t>
      </w:r>
      <w:r>
        <w:rPr>
          <w:rFonts w:ascii="Tahoma" w:hAnsi="Tahoma" w:cs="Tahoma"/>
        </w:rPr>
        <w:t xml:space="preserve"> millones  en el (2015).</w:t>
      </w:r>
    </w:p>
    <w:p w:rsidR="002D1F42" w:rsidRDefault="002D1F42" w:rsidP="006432CC">
      <w:pPr>
        <w:spacing w:before="0" w:after="0" w:line="228" w:lineRule="auto"/>
        <w:jc w:val="both"/>
        <w:rPr>
          <w:rFonts w:ascii="Tahoma" w:hAnsi="Tahoma" w:cs="Tahoma"/>
        </w:rPr>
      </w:pPr>
    </w:p>
    <w:p w:rsidR="0046798A" w:rsidRDefault="00D9131A" w:rsidP="006432CC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Los bienes de uso público</w:t>
      </w:r>
      <w:r w:rsidR="002D1F42">
        <w:rPr>
          <w:rFonts w:ascii="Tahoma" w:hAnsi="Tahoma" w:cs="Tahoma"/>
        </w:rPr>
        <w:t xml:space="preserve"> por el contrario </w:t>
      </w:r>
      <w:r w:rsidR="00627A2A">
        <w:rPr>
          <w:rFonts w:ascii="Tahoma" w:hAnsi="Tahoma" w:cs="Tahoma"/>
        </w:rPr>
        <w:t xml:space="preserve">presentaron un incremento en el saldo del 132% ($2.505 millones), finalizando de esta forma la vigencia 2015 con un saldo de $4.401,9 millones. </w:t>
      </w:r>
    </w:p>
    <w:p w:rsidR="0046798A" w:rsidRDefault="0046798A" w:rsidP="006432CC">
      <w:pPr>
        <w:spacing w:before="0" w:after="0" w:line="228" w:lineRule="auto"/>
        <w:jc w:val="both"/>
        <w:rPr>
          <w:rFonts w:ascii="Tahoma" w:hAnsi="Tahoma" w:cs="Tahoma"/>
        </w:rPr>
      </w:pPr>
    </w:p>
    <w:p w:rsidR="00090F81" w:rsidRDefault="0046798A" w:rsidP="006432CC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La cuenta “Otros Activos” acortó el saldo del 2014 en un (-12.04%) pasando de $515 millones registrados en el 2014 a $453 millones en el 2015. </w:t>
      </w:r>
    </w:p>
    <w:p w:rsidR="0046798A" w:rsidRDefault="0046798A" w:rsidP="00AD4CE9">
      <w:pPr>
        <w:spacing w:before="0" w:after="0" w:line="228" w:lineRule="auto"/>
        <w:rPr>
          <w:rFonts w:ascii="Tahoma" w:hAnsi="Tahoma" w:cs="Tahoma"/>
        </w:rPr>
      </w:pPr>
    </w:p>
    <w:p w:rsidR="0046798A" w:rsidRDefault="0046798A" w:rsidP="0046798A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Las </w:t>
      </w:r>
      <w:r w:rsidR="00090F81">
        <w:rPr>
          <w:rFonts w:ascii="Tahoma" w:hAnsi="Tahoma" w:cs="Tahoma"/>
        </w:rPr>
        <w:t xml:space="preserve"> cuentas del “Pasivo”  </w:t>
      </w:r>
      <w:r>
        <w:rPr>
          <w:rFonts w:ascii="Tahoma" w:hAnsi="Tahoma" w:cs="Tahoma"/>
        </w:rPr>
        <w:t>por su parte presentaron un incremento  en el saldo del 9.57% pasando de registrar en el 2014 $303,3 millones a $332,3 millones al cierre del periodo fiscal 2015.</w:t>
      </w:r>
    </w:p>
    <w:p w:rsidR="002B7FD4" w:rsidRDefault="002B7FD4" w:rsidP="0046798A">
      <w:pPr>
        <w:spacing w:before="0" w:after="0" w:line="228" w:lineRule="auto"/>
        <w:jc w:val="both"/>
        <w:rPr>
          <w:rFonts w:ascii="Tahoma" w:hAnsi="Tahoma" w:cs="Tahoma"/>
        </w:rPr>
      </w:pPr>
    </w:p>
    <w:p w:rsidR="002B7FD4" w:rsidRDefault="002B7FD4" w:rsidP="0046798A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Las deudas adquiridas por el ente territorial a través de crédito público, presentaron del 2014 al 2015 una reducción en el saldo de -80.35% representados en $107,6 millones pasando de registrar deudas por este concepto en el 2014 en cuantía de $133,9 millones alcanzando al finalizar la anualidad 2015 un saldo de $26.3 millones. </w:t>
      </w:r>
    </w:p>
    <w:p w:rsidR="00090F81" w:rsidRDefault="00090F81" w:rsidP="00AD4CE9">
      <w:pPr>
        <w:spacing w:before="0" w:after="0" w:line="228" w:lineRule="auto"/>
        <w:rPr>
          <w:rFonts w:ascii="Tahoma" w:hAnsi="Tahoma" w:cs="Tahoma"/>
        </w:rPr>
      </w:pPr>
    </w:p>
    <w:p w:rsidR="00B675C6" w:rsidRDefault="00090F81" w:rsidP="00090F81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Dentro de este grupo la cuenta de mayor representatividad está a cargo de las “Cuentas por Pagar”, p</w:t>
      </w:r>
      <w:r w:rsidR="002B7FD4">
        <w:rPr>
          <w:rFonts w:ascii="Tahoma" w:hAnsi="Tahoma" w:cs="Tahoma"/>
        </w:rPr>
        <w:t>ues las mismas representan el 59.76</w:t>
      </w:r>
      <w:r>
        <w:rPr>
          <w:rFonts w:ascii="Tahoma" w:hAnsi="Tahoma" w:cs="Tahoma"/>
        </w:rPr>
        <w:t>% del total del pasivo  al finalizar la anualidad; la cuenta incremento el saldo alcanzan</w:t>
      </w:r>
      <w:r w:rsidR="002B7FD4">
        <w:rPr>
          <w:rFonts w:ascii="Tahoma" w:hAnsi="Tahoma" w:cs="Tahoma"/>
        </w:rPr>
        <w:t xml:space="preserve">do en el 2014 ($81,7 millones) en $116,9 </w:t>
      </w:r>
      <w:r>
        <w:rPr>
          <w:rFonts w:ascii="Tahoma" w:hAnsi="Tahoma" w:cs="Tahoma"/>
        </w:rPr>
        <w:t xml:space="preserve"> mi</w:t>
      </w:r>
      <w:r w:rsidR="00B675C6">
        <w:rPr>
          <w:rFonts w:ascii="Tahoma" w:hAnsi="Tahoma" w:cs="Tahoma"/>
        </w:rPr>
        <w:t>llones representados en el 143,1</w:t>
      </w:r>
      <w:r>
        <w:rPr>
          <w:rFonts w:ascii="Tahoma" w:hAnsi="Tahoma" w:cs="Tahoma"/>
        </w:rPr>
        <w:t xml:space="preserve">%  finalizando la vigencia 2015 con un saldo de </w:t>
      </w:r>
      <w:r w:rsidR="00B675C6">
        <w:rPr>
          <w:rFonts w:ascii="Tahoma" w:hAnsi="Tahoma" w:cs="Tahoma"/>
        </w:rPr>
        <w:t>$198,6</w:t>
      </w:r>
      <w:r>
        <w:rPr>
          <w:rFonts w:ascii="Tahoma" w:hAnsi="Tahoma" w:cs="Tahoma"/>
        </w:rPr>
        <w:t xml:space="preserve"> millones.</w:t>
      </w:r>
    </w:p>
    <w:p w:rsidR="00B675C6" w:rsidRDefault="00B675C6" w:rsidP="00090F81">
      <w:pPr>
        <w:spacing w:before="0" w:after="0" w:line="228" w:lineRule="auto"/>
        <w:jc w:val="both"/>
        <w:rPr>
          <w:rFonts w:ascii="Tahoma" w:hAnsi="Tahoma" w:cs="Tahoma"/>
        </w:rPr>
      </w:pPr>
    </w:p>
    <w:p w:rsidR="00D85DD3" w:rsidRDefault="00090F81" w:rsidP="00096CAD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El patrimonio de</w:t>
      </w:r>
      <w:r w:rsidR="00B675C6">
        <w:rPr>
          <w:rFonts w:ascii="Tahoma" w:hAnsi="Tahoma" w:cs="Tahoma"/>
        </w:rPr>
        <w:t xml:space="preserve">l ente territorial, </w:t>
      </w:r>
      <w:r>
        <w:rPr>
          <w:rFonts w:ascii="Tahoma" w:hAnsi="Tahoma" w:cs="Tahoma"/>
        </w:rPr>
        <w:t>finaliza</w:t>
      </w:r>
      <w:r w:rsidR="00B675C6">
        <w:rPr>
          <w:rFonts w:ascii="Tahoma" w:hAnsi="Tahoma" w:cs="Tahoma"/>
        </w:rPr>
        <w:t xml:space="preserve"> la anualidad 2015 </w:t>
      </w:r>
      <w:r>
        <w:rPr>
          <w:rFonts w:ascii="Tahoma" w:hAnsi="Tahoma" w:cs="Tahoma"/>
        </w:rPr>
        <w:t xml:space="preserve"> </w:t>
      </w:r>
      <w:r w:rsidR="00B675C6">
        <w:rPr>
          <w:rFonts w:ascii="Tahoma" w:hAnsi="Tahoma" w:cs="Tahoma"/>
        </w:rPr>
        <w:t xml:space="preserve">en $9.429,7 </w:t>
      </w:r>
      <w:r>
        <w:rPr>
          <w:rFonts w:ascii="Tahoma" w:hAnsi="Tahoma" w:cs="Tahoma"/>
        </w:rPr>
        <w:t xml:space="preserve"> millones con un</w:t>
      </w:r>
      <w:r w:rsidR="00B675C6">
        <w:rPr>
          <w:rFonts w:ascii="Tahoma" w:hAnsi="Tahoma" w:cs="Tahoma"/>
        </w:rPr>
        <w:t>a disminución del -21.46% ($2.576,2 millones)  en el saldo alcanzado en el 2014 ($12.005</w:t>
      </w:r>
      <w:r>
        <w:rPr>
          <w:rFonts w:ascii="Tahoma" w:hAnsi="Tahoma" w:cs="Tahoma"/>
        </w:rPr>
        <w:t xml:space="preserve"> millones)</w:t>
      </w:r>
      <w:r w:rsidR="00615CBC">
        <w:rPr>
          <w:rFonts w:ascii="Tahoma" w:hAnsi="Tahoma" w:cs="Tahoma"/>
        </w:rPr>
        <w:t xml:space="preserve">.  El resultado obtenido obedece al apalancamiento que tuvo la cuenta de </w:t>
      </w:r>
      <w:r w:rsidR="00B675C6">
        <w:rPr>
          <w:rFonts w:ascii="Tahoma" w:hAnsi="Tahoma" w:cs="Tahoma"/>
        </w:rPr>
        <w:t>“Capital  Fiscal”</w:t>
      </w:r>
      <w:r w:rsidR="00615CBC">
        <w:rPr>
          <w:rFonts w:ascii="Tahoma" w:hAnsi="Tahoma" w:cs="Tahoma"/>
        </w:rPr>
        <w:t xml:space="preserve"> que al finalizar la anualidad alcanzó la suma de $8</w:t>
      </w:r>
      <w:r w:rsidR="00B675C6">
        <w:rPr>
          <w:rFonts w:ascii="Tahoma" w:hAnsi="Tahoma" w:cs="Tahoma"/>
        </w:rPr>
        <w:t xml:space="preserve">.262,4 </w:t>
      </w:r>
      <w:r w:rsidR="00615CBC">
        <w:rPr>
          <w:rFonts w:ascii="Tahoma" w:hAnsi="Tahoma" w:cs="Tahoma"/>
        </w:rPr>
        <w:t xml:space="preserve"> millones, el </w:t>
      </w:r>
      <w:r w:rsidR="00B675C6">
        <w:rPr>
          <w:rFonts w:ascii="Tahoma" w:hAnsi="Tahoma" w:cs="Tahoma"/>
        </w:rPr>
        <w:t xml:space="preserve">26.20% menos </w:t>
      </w:r>
      <w:r w:rsidR="00615CBC">
        <w:rPr>
          <w:rFonts w:ascii="Tahoma" w:hAnsi="Tahoma" w:cs="Tahoma"/>
        </w:rPr>
        <w:t xml:space="preserve"> de</w:t>
      </w:r>
      <w:r w:rsidR="00B675C6">
        <w:rPr>
          <w:rFonts w:ascii="Tahoma" w:hAnsi="Tahoma" w:cs="Tahoma"/>
        </w:rPr>
        <w:t xml:space="preserve"> lo alcanzado en el 2014 ($</w:t>
      </w:r>
      <w:r w:rsidR="00C85741">
        <w:rPr>
          <w:rFonts w:ascii="Tahoma" w:hAnsi="Tahoma" w:cs="Tahoma"/>
        </w:rPr>
        <w:t>11.196,1</w:t>
      </w:r>
      <w:r w:rsidR="00615CBC">
        <w:rPr>
          <w:rFonts w:ascii="Tahoma" w:hAnsi="Tahoma" w:cs="Tahoma"/>
        </w:rPr>
        <w:t>millones).</w:t>
      </w:r>
    </w:p>
    <w:p w:rsidR="00C35A0C" w:rsidRDefault="00092D3A" w:rsidP="00096CAD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</w:t>
      </w:r>
      <w:r w:rsidR="00C35A0C">
        <w:rPr>
          <w:rFonts w:ascii="Tahoma" w:hAnsi="Tahoma" w:cs="Tahoma"/>
        </w:rPr>
        <w:t xml:space="preserve"> </w:t>
      </w:r>
    </w:p>
    <w:p w:rsidR="00602BCB" w:rsidRDefault="00C85741" w:rsidP="00096CAD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La Cuenta “Resultado del Ejercicio” finalizó la vigencia 2015 con un saldo de $898,7 millones, representando un incremento del 129.24% frente al valor registrado al cierre de la anualidad 2014 ($392.05 millones).</w:t>
      </w:r>
    </w:p>
    <w:p w:rsidR="00B24CA8" w:rsidRPr="00AD4CE9" w:rsidRDefault="00B24CA8" w:rsidP="00B24CA8">
      <w:pPr>
        <w:spacing w:before="0" w:after="0" w:line="228" w:lineRule="auto"/>
        <w:rPr>
          <w:rFonts w:ascii="Tahoma" w:hAnsi="Tahoma" w:cs="Tahoma"/>
        </w:rPr>
      </w:pPr>
    </w:p>
    <w:p w:rsidR="00B24CA8" w:rsidRPr="002443C3" w:rsidRDefault="00B24CA8" w:rsidP="002443C3">
      <w:pPr>
        <w:pStyle w:val="Prrafodelista"/>
        <w:numPr>
          <w:ilvl w:val="0"/>
          <w:numId w:val="1"/>
        </w:numPr>
        <w:spacing w:before="0" w:after="0" w:line="228" w:lineRule="auto"/>
        <w:rPr>
          <w:rFonts w:ascii="Tahoma" w:hAnsi="Tahoma" w:cs="Tahoma"/>
          <w:b/>
        </w:rPr>
      </w:pPr>
      <w:r w:rsidRPr="002443C3">
        <w:rPr>
          <w:rFonts w:ascii="Tahoma" w:hAnsi="Tahoma" w:cs="Tahoma"/>
          <w:b/>
        </w:rPr>
        <w:t>ESTADO DE ACTIVIDAD FINANCIERA, ECONÓMICA, SOCIAL Y AMBIENTAL COMPARATIVO</w:t>
      </w:r>
    </w:p>
    <w:p w:rsidR="00B24CA8" w:rsidRDefault="00B24CA8" w:rsidP="00B24CA8">
      <w:pPr>
        <w:pStyle w:val="Prrafodelista"/>
        <w:spacing w:before="0" w:after="0" w:line="228" w:lineRule="auto"/>
        <w:rPr>
          <w:rFonts w:ascii="Tahoma" w:hAnsi="Tahoma" w:cs="Tahoma"/>
          <w:b/>
        </w:rPr>
      </w:pPr>
    </w:p>
    <w:p w:rsidR="000971C2" w:rsidRDefault="00C85741" w:rsidP="00B24CA8">
      <w:pPr>
        <w:pStyle w:val="Prrafodelista"/>
        <w:spacing w:before="0" w:after="0" w:line="228" w:lineRule="auto"/>
        <w:rPr>
          <w:rFonts w:ascii="Tahoma" w:hAnsi="Tahoma" w:cs="Tahoma"/>
          <w:b/>
        </w:rPr>
      </w:pPr>
      <w:r w:rsidRPr="00C85741">
        <w:rPr>
          <w:noProof/>
        </w:rPr>
        <w:drawing>
          <wp:inline distT="0" distB="0" distL="0" distR="0" wp14:anchorId="776BB684" wp14:editId="7A45E481">
            <wp:extent cx="5613400" cy="6555188"/>
            <wp:effectExtent l="0" t="0" r="6350" b="0"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65551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71C2" w:rsidRDefault="000971C2" w:rsidP="00B24CA8">
      <w:pPr>
        <w:pStyle w:val="Prrafodelista"/>
        <w:spacing w:before="0" w:after="0" w:line="228" w:lineRule="auto"/>
        <w:rPr>
          <w:rFonts w:ascii="Tahoma" w:hAnsi="Tahoma" w:cs="Tahoma"/>
          <w:b/>
        </w:rPr>
      </w:pPr>
    </w:p>
    <w:p w:rsidR="000971C2" w:rsidRDefault="000971C2" w:rsidP="00B24CA8">
      <w:pPr>
        <w:pStyle w:val="Prrafodelista"/>
        <w:spacing w:before="0" w:after="0" w:line="228" w:lineRule="auto"/>
        <w:rPr>
          <w:rFonts w:ascii="Tahoma" w:hAnsi="Tahoma" w:cs="Tahoma"/>
          <w:b/>
        </w:rPr>
      </w:pPr>
    </w:p>
    <w:p w:rsidR="000971C2" w:rsidRDefault="00C85741" w:rsidP="00B24CA8">
      <w:pPr>
        <w:pStyle w:val="Prrafodelista"/>
        <w:spacing w:before="0" w:after="0" w:line="228" w:lineRule="auto"/>
        <w:rPr>
          <w:rFonts w:ascii="Tahoma" w:hAnsi="Tahoma" w:cs="Tahoma"/>
          <w:b/>
        </w:rPr>
      </w:pPr>
      <w:r>
        <w:rPr>
          <w:rFonts w:ascii="Tahoma" w:hAnsi="Tahoma" w:cs="Tahoma"/>
          <w:b/>
          <w:noProof/>
        </w:rPr>
        <w:drawing>
          <wp:inline distT="0" distB="0" distL="0" distR="0" wp14:anchorId="0C480301" wp14:editId="41A7F017">
            <wp:extent cx="4584700" cy="3072765"/>
            <wp:effectExtent l="0" t="0" r="6350" b="0"/>
            <wp:docPr id="16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3072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971C2" w:rsidRDefault="000971C2" w:rsidP="00B24CA8">
      <w:pPr>
        <w:pStyle w:val="Prrafodelista"/>
        <w:spacing w:before="0" w:after="0" w:line="228" w:lineRule="auto"/>
        <w:rPr>
          <w:rFonts w:ascii="Tahoma" w:hAnsi="Tahoma" w:cs="Tahoma"/>
          <w:b/>
        </w:rPr>
      </w:pPr>
    </w:p>
    <w:p w:rsidR="000971C2" w:rsidRDefault="000971C2" w:rsidP="00B24CA8">
      <w:pPr>
        <w:pStyle w:val="Prrafodelista"/>
        <w:spacing w:before="0" w:after="0" w:line="228" w:lineRule="auto"/>
        <w:rPr>
          <w:rFonts w:ascii="Tahoma" w:hAnsi="Tahoma" w:cs="Tahoma"/>
          <w:b/>
        </w:rPr>
      </w:pPr>
    </w:p>
    <w:p w:rsidR="00D9119B" w:rsidRDefault="00221AE2" w:rsidP="00221AE2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El  Estado de la Actividad Financiera del Municipio de Villahermosa,  permite establecer  que al cierre del periodo fiscal 2015, </w:t>
      </w:r>
      <w:r w:rsidR="00D9119B">
        <w:rPr>
          <w:rFonts w:ascii="Tahoma" w:hAnsi="Tahoma" w:cs="Tahoma"/>
        </w:rPr>
        <w:t xml:space="preserve">el ente territorial obtuvo </w:t>
      </w:r>
      <w:r>
        <w:rPr>
          <w:rFonts w:ascii="Tahoma" w:hAnsi="Tahoma" w:cs="Tahoma"/>
        </w:rPr>
        <w:t>frente a los resultados</w:t>
      </w:r>
      <w:r w:rsidR="00D9119B">
        <w:rPr>
          <w:rFonts w:ascii="Tahoma" w:hAnsi="Tahoma" w:cs="Tahoma"/>
        </w:rPr>
        <w:t xml:space="preserve"> obtenidos en el 2014 ($8.681,1 millones) un incremento en sus ingresos del 9.84</w:t>
      </w:r>
      <w:r>
        <w:rPr>
          <w:rFonts w:ascii="Tahoma" w:hAnsi="Tahoma" w:cs="Tahoma"/>
        </w:rPr>
        <w:t xml:space="preserve">% </w:t>
      </w:r>
      <w:r w:rsidR="00702C94">
        <w:rPr>
          <w:rFonts w:ascii="Tahoma" w:hAnsi="Tahoma" w:cs="Tahoma"/>
        </w:rPr>
        <w:t xml:space="preserve">finalizando la vigencia 2015, con registros de ingresos en cuantía de </w:t>
      </w:r>
      <w:r w:rsidR="00D9119B">
        <w:rPr>
          <w:rFonts w:ascii="Tahoma" w:hAnsi="Tahoma" w:cs="Tahoma"/>
        </w:rPr>
        <w:t xml:space="preserve"> $9.534,9 millones es decir $853,8 millones más de lo recaudado en el 2014.</w:t>
      </w:r>
      <w:r>
        <w:rPr>
          <w:rFonts w:ascii="Tahoma" w:hAnsi="Tahoma" w:cs="Tahoma"/>
        </w:rPr>
        <w:t xml:space="preserve"> </w:t>
      </w:r>
    </w:p>
    <w:p w:rsidR="00702C94" w:rsidRDefault="00702C94" w:rsidP="00221AE2">
      <w:pPr>
        <w:spacing w:before="0" w:after="0" w:line="228" w:lineRule="auto"/>
        <w:jc w:val="both"/>
        <w:rPr>
          <w:rFonts w:ascii="Tahoma" w:hAnsi="Tahoma" w:cs="Tahoma"/>
        </w:rPr>
      </w:pPr>
    </w:p>
    <w:p w:rsidR="00702C94" w:rsidRDefault="00702C94" w:rsidP="00221AE2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Los Ingresos Fiscales finalizaron la vigencia 2015 en $932,7 millones, saldo que frente al registrado en el 2014 ($831,2 millones) refleja un incremento del 12.20%.</w:t>
      </w:r>
    </w:p>
    <w:p w:rsidR="00702C94" w:rsidRDefault="00702C94" w:rsidP="00221AE2">
      <w:pPr>
        <w:spacing w:before="0" w:after="0" w:line="228" w:lineRule="auto"/>
        <w:jc w:val="both"/>
        <w:rPr>
          <w:rFonts w:ascii="Tahoma" w:hAnsi="Tahoma" w:cs="Tahoma"/>
        </w:rPr>
      </w:pPr>
    </w:p>
    <w:p w:rsidR="00702C94" w:rsidRDefault="00702C94" w:rsidP="00221AE2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Las Transferencias a la misma fecha de cierre se cuantifican en $7.834,2 millones, saldo que obedeció al incremento del 1.51% ($116,2 millones) en el saldo obtenido en el 2014 de $7.717,9 millones.</w:t>
      </w:r>
    </w:p>
    <w:p w:rsidR="00702C94" w:rsidRDefault="00702C94" w:rsidP="00221AE2">
      <w:pPr>
        <w:spacing w:before="0" w:after="0" w:line="228" w:lineRule="auto"/>
        <w:jc w:val="both"/>
        <w:rPr>
          <w:rFonts w:ascii="Tahoma" w:hAnsi="Tahoma" w:cs="Tahoma"/>
        </w:rPr>
      </w:pPr>
    </w:p>
    <w:p w:rsidR="00702C94" w:rsidRDefault="00702C94" w:rsidP="00221AE2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Dentro de este grupo se encuentran las Transferencias por Sistema General de Participaciones </w:t>
      </w:r>
      <w:r w:rsidR="00E42F87">
        <w:rPr>
          <w:rFonts w:ascii="Tahoma" w:hAnsi="Tahoma" w:cs="Tahoma"/>
        </w:rPr>
        <w:t>(SGP) las cuales representan el 64.26% del total de las transferencias percibidas por el ente territorial durante la vigencia 2015; cuenta que presentó un decrecimiento del 5.31% ($282 millones) entre el saldo del 2014 ($5.316,4 millones) y el del cierre 2015 ($5.034,3 millones).</w:t>
      </w:r>
    </w:p>
    <w:p w:rsidR="00E42F87" w:rsidRDefault="00E42F87" w:rsidP="00221AE2">
      <w:pPr>
        <w:spacing w:before="0" w:after="0" w:line="228" w:lineRule="auto"/>
        <w:jc w:val="both"/>
        <w:rPr>
          <w:rFonts w:ascii="Tahoma" w:hAnsi="Tahoma" w:cs="Tahoma"/>
        </w:rPr>
      </w:pPr>
    </w:p>
    <w:p w:rsidR="00E42F87" w:rsidRDefault="00E42F87" w:rsidP="00221AE2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Como consecuencia de lo anterior, se tiene una disminución de recursos entre las vigencias 2014 y 2015 para los diferentes sectores</w:t>
      </w:r>
      <w:r w:rsidR="000F3F0A">
        <w:rPr>
          <w:rFonts w:ascii="Tahoma" w:hAnsi="Tahoma" w:cs="Tahoma"/>
        </w:rPr>
        <w:t xml:space="preserve">, </w:t>
      </w:r>
      <w:r>
        <w:rPr>
          <w:rFonts w:ascii="Tahoma" w:hAnsi="Tahoma" w:cs="Tahoma"/>
        </w:rPr>
        <w:t xml:space="preserve"> los cuales oscilaron entre el -1.41% (Educación) y el -10.42% (Propósito General). </w:t>
      </w:r>
    </w:p>
    <w:p w:rsidR="000F3F0A" w:rsidRDefault="000F3F0A" w:rsidP="00221AE2">
      <w:pPr>
        <w:spacing w:before="0" w:after="0" w:line="228" w:lineRule="auto"/>
        <w:jc w:val="both"/>
        <w:rPr>
          <w:rFonts w:ascii="Tahoma" w:hAnsi="Tahoma" w:cs="Tahoma"/>
        </w:rPr>
      </w:pPr>
    </w:p>
    <w:p w:rsidR="000F3F0A" w:rsidRDefault="000F3F0A" w:rsidP="00221AE2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Se observa de la misma manera que la Administración Municipal, asignó en el 2015 recursos en cuantía de $85.4 millones para Fondo Nacional de Pensiones  y $36.9 millones para Atención Integral a la Primera Infancia, cuentas a las cuales no se les había asignados recursos en la vigencia 2014.</w:t>
      </w:r>
    </w:p>
    <w:p w:rsidR="000F3F0A" w:rsidRDefault="000F3F0A" w:rsidP="00221AE2">
      <w:pPr>
        <w:spacing w:before="0" w:after="0" w:line="228" w:lineRule="auto"/>
        <w:jc w:val="both"/>
        <w:rPr>
          <w:rFonts w:ascii="Tahoma" w:hAnsi="Tahoma" w:cs="Tahoma"/>
        </w:rPr>
      </w:pPr>
    </w:p>
    <w:p w:rsidR="000F3F0A" w:rsidRDefault="000F3F0A" w:rsidP="00221AE2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Por Sistema General de Regalías, el municipio de Villahermosa percibió ingresos en cuantía de $1.531,7 millones, situación que obedeció al incremento de $911 millones, el  (146.8%) del saldo obtenido  en el 2014. El 100% de los recursos fueron destinados para el ahorro pensional territorial.</w:t>
      </w:r>
    </w:p>
    <w:p w:rsidR="007F01B3" w:rsidRDefault="007F01B3" w:rsidP="00221AE2">
      <w:pPr>
        <w:spacing w:before="0" w:after="0" w:line="228" w:lineRule="auto"/>
        <w:jc w:val="both"/>
        <w:rPr>
          <w:rFonts w:ascii="Tahoma" w:hAnsi="Tahoma" w:cs="Tahoma"/>
        </w:rPr>
      </w:pPr>
    </w:p>
    <w:p w:rsidR="007F01B3" w:rsidRDefault="007F01B3" w:rsidP="00221AE2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El mismo comportamiento fue reflejado en la cuenta “Otros Ingresos” donde se pudo determinar un incremento del 482,5% ($636,2 millones) en el saldo de la vigencia 2014, para cuantificar al cierre del periodo fiscal 2015 ingresos en cuantía de $768 millones.</w:t>
      </w:r>
    </w:p>
    <w:p w:rsidR="007F01B3" w:rsidRDefault="007F01B3" w:rsidP="00221AE2">
      <w:pPr>
        <w:spacing w:before="0" w:after="0" w:line="228" w:lineRule="auto"/>
        <w:jc w:val="both"/>
        <w:rPr>
          <w:rFonts w:ascii="Tahoma" w:hAnsi="Tahoma" w:cs="Tahoma"/>
        </w:rPr>
      </w:pPr>
    </w:p>
    <w:p w:rsidR="00B66376" w:rsidRDefault="007F01B3" w:rsidP="00EC1442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Los Gastos en el 2015 ascendieron a $8.636,2 </w:t>
      </w:r>
      <w:r w:rsidR="00EC1442">
        <w:rPr>
          <w:rFonts w:ascii="Tahoma" w:hAnsi="Tahoma" w:cs="Tahoma"/>
        </w:rPr>
        <w:t>millones, resultado que obedeció  al incremento del 4.19% realizado sobre el saldo del 2014 que finalizó en $8.289 millones.  Dentro de este grupo se observa que el  porcentaje de mayor representatividad (81.23%) lo tiene los  “Gasto Público Social” cuenta que fue cuantificada en el 2014 con $6.864,6 millones; no obstante durante la vigencia 2015 la misma cuenta obtuvo un incremento del 2.20% finalizando la vigencia 2015 en $7.015,9 millones.</w:t>
      </w:r>
    </w:p>
    <w:p w:rsidR="00115E29" w:rsidRDefault="00115E29" w:rsidP="00B24CA8">
      <w:pPr>
        <w:spacing w:before="0" w:after="0" w:line="228" w:lineRule="auto"/>
        <w:rPr>
          <w:rFonts w:ascii="Tahoma" w:hAnsi="Tahoma" w:cs="Tahoma"/>
        </w:rPr>
      </w:pPr>
    </w:p>
    <w:p w:rsidR="00BC5D7D" w:rsidRPr="00AD4CE9" w:rsidRDefault="00814D3D" w:rsidP="002443C3">
      <w:pPr>
        <w:pStyle w:val="Prrafodelista"/>
        <w:numPr>
          <w:ilvl w:val="0"/>
          <w:numId w:val="1"/>
        </w:numPr>
        <w:spacing w:before="0" w:after="0" w:line="228" w:lineRule="auto"/>
        <w:rPr>
          <w:rFonts w:ascii="Tahoma" w:hAnsi="Tahoma" w:cs="Tahoma"/>
          <w:b/>
        </w:rPr>
      </w:pPr>
      <w:r w:rsidRPr="00AD4CE9">
        <w:rPr>
          <w:rFonts w:ascii="Tahoma" w:hAnsi="Tahoma" w:cs="Tahoma"/>
          <w:b/>
        </w:rPr>
        <w:t>APLICACIÓN DE INDICADORES FINANCIEROS</w:t>
      </w:r>
    </w:p>
    <w:p w:rsidR="00814D3D" w:rsidRPr="00AD4CE9" w:rsidRDefault="00814D3D" w:rsidP="00AD4CE9">
      <w:pPr>
        <w:spacing w:before="0" w:after="0" w:line="228" w:lineRule="auto"/>
        <w:rPr>
          <w:rFonts w:ascii="Tahoma" w:hAnsi="Tahoma" w:cs="Tahoma"/>
        </w:rPr>
      </w:pPr>
    </w:p>
    <w:p w:rsidR="00814D3D" w:rsidRPr="00AD4CE9" w:rsidRDefault="00814D3D" w:rsidP="002443C3">
      <w:pPr>
        <w:pStyle w:val="Prrafodelista"/>
        <w:numPr>
          <w:ilvl w:val="1"/>
          <w:numId w:val="1"/>
        </w:numPr>
        <w:spacing w:before="0" w:after="0" w:line="228" w:lineRule="auto"/>
        <w:rPr>
          <w:rFonts w:ascii="Tahoma" w:hAnsi="Tahoma" w:cs="Tahoma"/>
        </w:rPr>
      </w:pPr>
      <w:r w:rsidRPr="00AD4CE9">
        <w:rPr>
          <w:rFonts w:ascii="Tahoma" w:hAnsi="Tahoma" w:cs="Tahoma"/>
        </w:rPr>
        <w:t>Indicadores de liquidez y Solvencia</w:t>
      </w:r>
    </w:p>
    <w:p w:rsidR="00814D3D" w:rsidRPr="00AD4CE9" w:rsidRDefault="00814D3D" w:rsidP="00AD4CE9">
      <w:pPr>
        <w:spacing w:before="0" w:after="0" w:line="228" w:lineRule="auto"/>
        <w:rPr>
          <w:rFonts w:ascii="Tahoma" w:hAnsi="Tahoma" w:cs="Tahoma"/>
        </w:rPr>
      </w:pPr>
    </w:p>
    <w:p w:rsidR="00814D3D" w:rsidRPr="00AD4CE9" w:rsidRDefault="00160B31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Razón</w:t>
      </w:r>
      <w:r w:rsidR="00814D3D" w:rsidRPr="00AD4CE9">
        <w:rPr>
          <w:rFonts w:ascii="Tahoma" w:hAnsi="Tahoma" w:cs="Tahoma"/>
        </w:rPr>
        <w:t xml:space="preserve"> Corriente: nos muestra la capacidad que tiene la entidad</w:t>
      </w:r>
      <w:r w:rsidRPr="00AD4CE9">
        <w:rPr>
          <w:rFonts w:ascii="Tahoma" w:hAnsi="Tahoma" w:cs="Tahoma"/>
        </w:rPr>
        <w:t xml:space="preserve"> para cubrir sus deudas en el corto plazo, ya que indica por cada peso que se debe, con cuantos se cuenta para respaldarlo.</w:t>
      </w:r>
    </w:p>
    <w:p w:rsidR="00160B31" w:rsidRPr="00AD4CE9" w:rsidRDefault="00160B31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160B31" w:rsidRPr="00AD4CE9" w:rsidRDefault="00160B31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Formula: Activo Corriente / Pasivo Corriente</w:t>
      </w:r>
    </w:p>
    <w:p w:rsidR="00160B31" w:rsidRPr="00AD4CE9" w:rsidRDefault="00160B31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160B31" w:rsidRPr="00AD4CE9" w:rsidRDefault="00160B31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Activo Corriente:</w:t>
      </w:r>
    </w:p>
    <w:p w:rsidR="00160B31" w:rsidRPr="00AD4CE9" w:rsidRDefault="00556949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Efectivo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EC7EF0">
        <w:rPr>
          <w:rFonts w:ascii="Tahoma" w:hAnsi="Tahoma" w:cs="Tahoma"/>
        </w:rPr>
        <w:t xml:space="preserve">   </w:t>
      </w:r>
      <w:r>
        <w:rPr>
          <w:rFonts w:ascii="Tahoma" w:hAnsi="Tahoma" w:cs="Tahoma"/>
        </w:rPr>
        <w:t>$</w:t>
      </w:r>
      <w:r w:rsidR="00EC7EF0">
        <w:rPr>
          <w:rFonts w:ascii="Tahoma" w:hAnsi="Tahoma" w:cs="Tahoma"/>
        </w:rPr>
        <w:t>378.763</w:t>
      </w:r>
    </w:p>
    <w:p w:rsidR="00160B31" w:rsidRPr="00AD4CE9" w:rsidRDefault="00556949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Renta por Cobrar</w:t>
      </w:r>
      <w:r>
        <w:rPr>
          <w:rFonts w:ascii="Tahoma" w:hAnsi="Tahoma" w:cs="Tahoma"/>
        </w:rPr>
        <w:tab/>
        <w:t xml:space="preserve">  </w:t>
      </w:r>
      <w:r w:rsidR="00EC7EF0">
        <w:rPr>
          <w:rFonts w:ascii="Tahoma" w:hAnsi="Tahoma" w:cs="Tahoma"/>
        </w:rPr>
        <w:t xml:space="preserve">   712.840</w:t>
      </w:r>
    </w:p>
    <w:p w:rsidR="001666F5" w:rsidRPr="00AD4CE9" w:rsidRDefault="001666F5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Deudores</w:t>
      </w:r>
      <w:r w:rsidRPr="00AD4CE9">
        <w:rPr>
          <w:rFonts w:ascii="Tahoma" w:hAnsi="Tahoma" w:cs="Tahoma"/>
        </w:rPr>
        <w:tab/>
      </w:r>
      <w:r w:rsidRPr="00AD4CE9">
        <w:rPr>
          <w:rFonts w:ascii="Tahoma" w:hAnsi="Tahoma" w:cs="Tahoma"/>
        </w:rPr>
        <w:tab/>
        <w:t xml:space="preserve"> </w:t>
      </w:r>
      <w:r w:rsidR="00EC7EF0">
        <w:rPr>
          <w:rFonts w:ascii="Tahoma" w:hAnsi="Tahoma" w:cs="Tahoma"/>
        </w:rPr>
        <w:t xml:space="preserve">    618.530</w:t>
      </w:r>
      <w:r w:rsidR="003D5BDF">
        <w:rPr>
          <w:rFonts w:ascii="Tahoma" w:hAnsi="Tahoma" w:cs="Tahoma"/>
        </w:rPr>
        <w:t xml:space="preserve">  </w:t>
      </w:r>
    </w:p>
    <w:p w:rsidR="001666F5" w:rsidRPr="00AD4CE9" w:rsidRDefault="001666F5" w:rsidP="00AD4CE9">
      <w:pPr>
        <w:spacing w:before="0" w:after="0" w:line="228" w:lineRule="auto"/>
        <w:rPr>
          <w:rFonts w:ascii="Tahoma" w:hAnsi="Tahoma" w:cs="Tahoma"/>
        </w:rPr>
      </w:pPr>
      <w:r w:rsidRPr="00AD4CE9">
        <w:rPr>
          <w:rFonts w:ascii="Tahoma" w:hAnsi="Tahoma" w:cs="Tahoma"/>
        </w:rPr>
        <w:tab/>
      </w:r>
      <w:r w:rsidRPr="00AD4CE9">
        <w:rPr>
          <w:rFonts w:ascii="Tahoma" w:hAnsi="Tahoma" w:cs="Tahoma"/>
        </w:rPr>
        <w:tab/>
      </w:r>
      <w:r w:rsidRPr="00AD4CE9">
        <w:rPr>
          <w:rFonts w:ascii="Tahoma" w:hAnsi="Tahoma" w:cs="Tahoma"/>
        </w:rPr>
        <w:tab/>
        <w:t>----------------</w:t>
      </w:r>
      <w:r w:rsidR="000467A1" w:rsidRPr="00AD4CE9">
        <w:rPr>
          <w:rFonts w:ascii="Tahoma" w:hAnsi="Tahoma" w:cs="Tahoma"/>
        </w:rPr>
        <w:t>----</w:t>
      </w:r>
    </w:p>
    <w:p w:rsidR="001666F5" w:rsidRPr="00AD4CE9" w:rsidRDefault="00EC7EF0" w:rsidP="00AD4CE9">
      <w:pPr>
        <w:spacing w:before="0" w:after="0" w:line="228" w:lineRule="auto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$1.710.133</w:t>
      </w:r>
    </w:p>
    <w:p w:rsidR="001666F5" w:rsidRPr="00AD4CE9" w:rsidRDefault="001666F5" w:rsidP="00AD4CE9">
      <w:pPr>
        <w:spacing w:before="0" w:after="0" w:line="228" w:lineRule="auto"/>
        <w:rPr>
          <w:rFonts w:ascii="Tahoma" w:hAnsi="Tahoma" w:cs="Tahoma"/>
        </w:rPr>
      </w:pPr>
    </w:p>
    <w:p w:rsidR="001666F5" w:rsidRPr="00AD4CE9" w:rsidRDefault="001666F5" w:rsidP="00AD4CE9">
      <w:pPr>
        <w:spacing w:before="0" w:after="0" w:line="228" w:lineRule="auto"/>
        <w:rPr>
          <w:rFonts w:ascii="Tahoma" w:hAnsi="Tahoma" w:cs="Tahoma"/>
        </w:rPr>
      </w:pPr>
      <w:r w:rsidRPr="00AD4CE9">
        <w:rPr>
          <w:rFonts w:ascii="Tahoma" w:hAnsi="Tahoma" w:cs="Tahoma"/>
        </w:rPr>
        <w:t>Pasivo Corriente:</w:t>
      </w:r>
    </w:p>
    <w:p w:rsidR="001666F5" w:rsidRPr="00AD4CE9" w:rsidRDefault="001666F5" w:rsidP="00AD4CE9">
      <w:pPr>
        <w:spacing w:before="0" w:after="0" w:line="228" w:lineRule="auto"/>
        <w:rPr>
          <w:rFonts w:ascii="Tahoma" w:hAnsi="Tahoma" w:cs="Tahoma"/>
        </w:rPr>
      </w:pPr>
      <w:r w:rsidRPr="00AD4CE9">
        <w:rPr>
          <w:rFonts w:ascii="Tahoma" w:hAnsi="Tahoma" w:cs="Tahoma"/>
        </w:rPr>
        <w:lastRenderedPageBreak/>
        <w:t>Op</w:t>
      </w:r>
      <w:r w:rsidR="000467A1" w:rsidRPr="00AD4CE9">
        <w:rPr>
          <w:rFonts w:ascii="Tahoma" w:hAnsi="Tahoma" w:cs="Tahoma"/>
        </w:rPr>
        <w:t>eracion</w:t>
      </w:r>
      <w:r w:rsidR="003D5BDF">
        <w:rPr>
          <w:rFonts w:ascii="Tahoma" w:hAnsi="Tahoma" w:cs="Tahoma"/>
        </w:rPr>
        <w:t xml:space="preserve">es </w:t>
      </w:r>
      <w:r w:rsidR="00B66376">
        <w:rPr>
          <w:rFonts w:ascii="Tahoma" w:hAnsi="Tahoma" w:cs="Tahoma"/>
        </w:rPr>
        <w:t>de crédito publico</w:t>
      </w:r>
      <w:r w:rsidR="00B66376">
        <w:rPr>
          <w:rFonts w:ascii="Tahoma" w:hAnsi="Tahoma" w:cs="Tahoma"/>
        </w:rPr>
        <w:tab/>
      </w:r>
      <w:r w:rsidR="00310359">
        <w:rPr>
          <w:rFonts w:ascii="Tahoma" w:hAnsi="Tahoma" w:cs="Tahoma"/>
        </w:rPr>
        <w:t xml:space="preserve">            </w:t>
      </w:r>
      <w:r w:rsidR="00B66376">
        <w:rPr>
          <w:rFonts w:ascii="Tahoma" w:hAnsi="Tahoma" w:cs="Tahoma"/>
        </w:rPr>
        <w:t>$</w:t>
      </w:r>
      <w:r w:rsidR="00310359">
        <w:rPr>
          <w:rFonts w:ascii="Tahoma" w:hAnsi="Tahoma" w:cs="Tahoma"/>
        </w:rPr>
        <w:t xml:space="preserve">   </w:t>
      </w:r>
      <w:r w:rsidR="00EC7EF0">
        <w:rPr>
          <w:rFonts w:ascii="Tahoma" w:hAnsi="Tahoma" w:cs="Tahoma"/>
        </w:rPr>
        <w:t>26.327</w:t>
      </w:r>
    </w:p>
    <w:p w:rsidR="001666F5" w:rsidRPr="00AD4CE9" w:rsidRDefault="00EC7EF0" w:rsidP="00AD4CE9">
      <w:pPr>
        <w:spacing w:before="0" w:after="0" w:line="228" w:lineRule="auto"/>
        <w:rPr>
          <w:rFonts w:ascii="Tahoma" w:hAnsi="Tahoma" w:cs="Tahoma"/>
        </w:rPr>
      </w:pPr>
      <w:r>
        <w:rPr>
          <w:rFonts w:ascii="Tahoma" w:hAnsi="Tahoma" w:cs="Tahoma"/>
        </w:rPr>
        <w:t>Cuentas por Pagar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 198.652</w:t>
      </w:r>
    </w:p>
    <w:p w:rsidR="001666F5" w:rsidRPr="00AD4CE9" w:rsidRDefault="001666F5" w:rsidP="00AD4CE9">
      <w:pPr>
        <w:spacing w:before="0" w:after="0" w:line="228" w:lineRule="auto"/>
        <w:rPr>
          <w:rFonts w:ascii="Tahoma" w:hAnsi="Tahoma" w:cs="Tahoma"/>
        </w:rPr>
      </w:pPr>
      <w:r w:rsidRPr="00AD4CE9">
        <w:rPr>
          <w:rFonts w:ascii="Tahoma" w:hAnsi="Tahoma" w:cs="Tahoma"/>
        </w:rPr>
        <w:t>Obligaciones Laborales</w:t>
      </w:r>
      <w:r w:rsidRPr="00AD4CE9">
        <w:rPr>
          <w:rFonts w:ascii="Tahoma" w:hAnsi="Tahoma" w:cs="Tahoma"/>
        </w:rPr>
        <w:tab/>
      </w:r>
      <w:r w:rsidRPr="00AD4CE9">
        <w:rPr>
          <w:rFonts w:ascii="Tahoma" w:hAnsi="Tahoma" w:cs="Tahoma"/>
        </w:rPr>
        <w:tab/>
      </w:r>
      <w:r w:rsidRPr="00AD4CE9">
        <w:rPr>
          <w:rFonts w:ascii="Tahoma" w:hAnsi="Tahoma" w:cs="Tahoma"/>
        </w:rPr>
        <w:tab/>
      </w:r>
      <w:r w:rsidR="000467A1" w:rsidRPr="00AD4CE9">
        <w:rPr>
          <w:rFonts w:ascii="Tahoma" w:hAnsi="Tahoma" w:cs="Tahoma"/>
        </w:rPr>
        <w:t xml:space="preserve">    </w:t>
      </w:r>
      <w:r w:rsidRPr="00AD4CE9">
        <w:rPr>
          <w:rFonts w:ascii="Tahoma" w:hAnsi="Tahoma" w:cs="Tahoma"/>
        </w:rPr>
        <w:t xml:space="preserve"> </w:t>
      </w:r>
      <w:r w:rsidR="0083318E">
        <w:rPr>
          <w:rFonts w:ascii="Tahoma" w:hAnsi="Tahoma" w:cs="Tahoma"/>
        </w:rPr>
        <w:t xml:space="preserve"> </w:t>
      </w:r>
      <w:r w:rsidR="00EC7EF0">
        <w:rPr>
          <w:rFonts w:ascii="Tahoma" w:hAnsi="Tahoma" w:cs="Tahoma"/>
        </w:rPr>
        <w:t>32.320</w:t>
      </w:r>
    </w:p>
    <w:p w:rsidR="001666F5" w:rsidRPr="00AD4CE9" w:rsidRDefault="000467A1" w:rsidP="00AD4CE9">
      <w:pPr>
        <w:spacing w:before="0" w:after="0" w:line="228" w:lineRule="auto"/>
        <w:rPr>
          <w:rFonts w:ascii="Tahoma" w:hAnsi="Tahoma" w:cs="Tahoma"/>
        </w:rPr>
      </w:pPr>
      <w:r w:rsidRPr="00AD4CE9">
        <w:rPr>
          <w:rFonts w:ascii="Tahoma" w:hAnsi="Tahoma" w:cs="Tahoma"/>
        </w:rPr>
        <w:t xml:space="preserve">    </w:t>
      </w:r>
      <w:r w:rsidR="001666F5" w:rsidRPr="00AD4CE9">
        <w:rPr>
          <w:rFonts w:ascii="Tahoma" w:hAnsi="Tahoma" w:cs="Tahoma"/>
        </w:rPr>
        <w:tab/>
      </w:r>
      <w:r w:rsidR="001666F5" w:rsidRPr="00AD4CE9">
        <w:rPr>
          <w:rFonts w:ascii="Tahoma" w:hAnsi="Tahoma" w:cs="Tahoma"/>
        </w:rPr>
        <w:tab/>
      </w:r>
      <w:r w:rsidR="001666F5" w:rsidRPr="00AD4CE9">
        <w:rPr>
          <w:rFonts w:ascii="Tahoma" w:hAnsi="Tahoma" w:cs="Tahoma"/>
        </w:rPr>
        <w:tab/>
      </w:r>
      <w:r w:rsidR="001666F5" w:rsidRPr="00AD4CE9">
        <w:rPr>
          <w:rFonts w:ascii="Tahoma" w:hAnsi="Tahoma" w:cs="Tahoma"/>
        </w:rPr>
        <w:tab/>
      </w:r>
      <w:r w:rsidR="001666F5" w:rsidRPr="00AD4CE9">
        <w:rPr>
          <w:rFonts w:ascii="Tahoma" w:hAnsi="Tahoma" w:cs="Tahoma"/>
        </w:rPr>
        <w:tab/>
      </w:r>
      <w:r w:rsidRPr="00AD4CE9">
        <w:rPr>
          <w:rFonts w:ascii="Tahoma" w:hAnsi="Tahoma" w:cs="Tahoma"/>
        </w:rPr>
        <w:t xml:space="preserve">          ---</w:t>
      </w:r>
      <w:r w:rsidR="001666F5" w:rsidRPr="00AD4CE9">
        <w:rPr>
          <w:rFonts w:ascii="Tahoma" w:hAnsi="Tahoma" w:cs="Tahoma"/>
        </w:rPr>
        <w:t>----------------</w:t>
      </w:r>
    </w:p>
    <w:p w:rsidR="001666F5" w:rsidRDefault="0083318E" w:rsidP="00AD4CE9">
      <w:pPr>
        <w:spacing w:before="0" w:after="0" w:line="228" w:lineRule="auto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      </w:t>
      </w:r>
      <w:r w:rsidR="00EC7EF0">
        <w:rPr>
          <w:rFonts w:ascii="Tahoma" w:hAnsi="Tahoma" w:cs="Tahoma"/>
        </w:rPr>
        <w:t xml:space="preserve">   </w:t>
      </w:r>
      <w:r>
        <w:rPr>
          <w:rFonts w:ascii="Tahoma" w:hAnsi="Tahoma" w:cs="Tahoma"/>
        </w:rPr>
        <w:t>$</w:t>
      </w:r>
      <w:r w:rsidR="00EC7EF0">
        <w:rPr>
          <w:rFonts w:ascii="Tahoma" w:hAnsi="Tahoma" w:cs="Tahoma"/>
        </w:rPr>
        <w:t xml:space="preserve"> 257.299</w:t>
      </w:r>
    </w:p>
    <w:p w:rsidR="00EC7EF0" w:rsidRPr="00AD4CE9" w:rsidRDefault="00EC7EF0" w:rsidP="00AD4CE9">
      <w:pPr>
        <w:spacing w:before="0" w:after="0" w:line="228" w:lineRule="auto"/>
        <w:rPr>
          <w:rFonts w:ascii="Tahoma" w:hAnsi="Tahoma" w:cs="Tahoma"/>
        </w:rPr>
      </w:pPr>
    </w:p>
    <w:p w:rsidR="001666F5" w:rsidRPr="00AD4CE9" w:rsidRDefault="00EC7EF0" w:rsidP="00AD4CE9">
      <w:pPr>
        <w:spacing w:before="0" w:after="0" w:line="228" w:lineRule="auto"/>
        <w:rPr>
          <w:rFonts w:ascii="Tahoma" w:hAnsi="Tahoma" w:cs="Tahoma"/>
        </w:rPr>
      </w:pPr>
      <w:r>
        <w:rPr>
          <w:rFonts w:ascii="Tahoma" w:hAnsi="Tahoma" w:cs="Tahoma"/>
        </w:rPr>
        <w:t>Razón Corriente  $1.710.133 /$257.299</w:t>
      </w:r>
      <w:r w:rsidR="001666F5" w:rsidRPr="00AD4CE9">
        <w:rPr>
          <w:rFonts w:ascii="Tahoma" w:hAnsi="Tahoma" w:cs="Tahoma"/>
        </w:rPr>
        <w:t xml:space="preserve"> = </w:t>
      </w:r>
      <w:r>
        <w:rPr>
          <w:rFonts w:ascii="Tahoma" w:hAnsi="Tahoma" w:cs="Tahoma"/>
        </w:rPr>
        <w:t>6.64</w:t>
      </w:r>
    </w:p>
    <w:p w:rsidR="00A7456E" w:rsidRPr="00AD4CE9" w:rsidRDefault="00A7456E" w:rsidP="00AD4CE9">
      <w:pPr>
        <w:spacing w:before="0" w:after="0" w:line="228" w:lineRule="auto"/>
        <w:rPr>
          <w:rFonts w:ascii="Tahoma" w:hAnsi="Tahoma" w:cs="Tahoma"/>
        </w:rPr>
      </w:pPr>
    </w:p>
    <w:p w:rsidR="008A0D90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El anterior resultado nos muestra que por cada peso que</w:t>
      </w:r>
      <w:r w:rsidR="008A0D90">
        <w:rPr>
          <w:rFonts w:ascii="Tahoma" w:hAnsi="Tahoma" w:cs="Tahoma"/>
        </w:rPr>
        <w:t xml:space="preserve"> la Ad</w:t>
      </w:r>
      <w:r w:rsidR="00310359">
        <w:rPr>
          <w:rFonts w:ascii="Tahoma" w:hAnsi="Tahoma" w:cs="Tahoma"/>
        </w:rPr>
        <w:t>min</w:t>
      </w:r>
      <w:r w:rsidR="0083318E">
        <w:rPr>
          <w:rFonts w:ascii="Tahoma" w:hAnsi="Tahoma" w:cs="Tahoma"/>
        </w:rPr>
        <w:t>is</w:t>
      </w:r>
      <w:r w:rsidR="00EC7EF0">
        <w:rPr>
          <w:rFonts w:ascii="Tahoma" w:hAnsi="Tahoma" w:cs="Tahoma"/>
        </w:rPr>
        <w:t>tración Municipal de Villahermosa</w:t>
      </w:r>
      <w:r w:rsidR="0083318E">
        <w:rPr>
          <w:rFonts w:ascii="Tahoma" w:hAnsi="Tahoma" w:cs="Tahoma"/>
        </w:rPr>
        <w:t xml:space="preserve"> </w:t>
      </w:r>
      <w:r w:rsidRPr="00AD4CE9">
        <w:rPr>
          <w:rFonts w:ascii="Tahoma" w:hAnsi="Tahoma" w:cs="Tahoma"/>
        </w:rPr>
        <w:t xml:space="preserve"> debe a corto plazo, cuenta con </w:t>
      </w:r>
      <w:r w:rsidR="00EC7EF0">
        <w:rPr>
          <w:rFonts w:ascii="Tahoma" w:hAnsi="Tahoma" w:cs="Tahoma"/>
        </w:rPr>
        <w:t>6.64</w:t>
      </w:r>
      <w:r w:rsidR="00204E7B" w:rsidRPr="00AD4CE9">
        <w:rPr>
          <w:rFonts w:ascii="Tahoma" w:hAnsi="Tahoma" w:cs="Tahoma"/>
        </w:rPr>
        <w:t xml:space="preserve"> </w:t>
      </w:r>
      <w:r w:rsidRPr="00AD4CE9">
        <w:rPr>
          <w:rFonts w:ascii="Tahoma" w:hAnsi="Tahoma" w:cs="Tahoma"/>
        </w:rPr>
        <w:t xml:space="preserve"> pesos en activos corriente para cubrirlos, lo que significa que el mencionado munic</w:t>
      </w:r>
      <w:r w:rsidR="008A0D90">
        <w:rPr>
          <w:rFonts w:ascii="Tahoma" w:hAnsi="Tahoma" w:cs="Tahoma"/>
        </w:rPr>
        <w:t xml:space="preserve">ipio refleja liquidez </w:t>
      </w:r>
      <w:r w:rsidRPr="00AD4CE9">
        <w:rPr>
          <w:rFonts w:ascii="Tahoma" w:hAnsi="Tahoma" w:cs="Tahoma"/>
        </w:rPr>
        <w:t xml:space="preserve"> para cubrir sus pasivos de corto plazo.</w:t>
      </w:r>
    </w:p>
    <w:p w:rsidR="008A0D90" w:rsidRPr="00AD4CE9" w:rsidRDefault="008A0D90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CAPITAL NETO DE TRABAJO</w:t>
      </w: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El capital neto de trabajo es el resultado de restar del activo corriente los pasivos a corto plazo de la entidad. El capital de trabajo se considera como aquellos recursos que necesita la entidad para operar.</w:t>
      </w: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Formula: Activo Corriente – Pasivo Corriente</w:t>
      </w: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A7456E" w:rsidRPr="00AD4CE9" w:rsidRDefault="00EC7EF0" w:rsidP="008A0D90">
      <w:pPr>
        <w:spacing w:before="0" w:after="0" w:line="228" w:lineRule="auto"/>
        <w:rPr>
          <w:rFonts w:ascii="Tahoma" w:hAnsi="Tahoma" w:cs="Tahoma"/>
        </w:rPr>
      </w:pPr>
      <w:r>
        <w:rPr>
          <w:rFonts w:ascii="Tahoma" w:hAnsi="Tahoma" w:cs="Tahoma"/>
        </w:rPr>
        <w:t>$1.710.133 - $257.299</w:t>
      </w:r>
      <w:r w:rsidR="00A7456E" w:rsidRPr="00AD4CE9">
        <w:rPr>
          <w:rFonts w:ascii="Tahoma" w:hAnsi="Tahoma" w:cs="Tahoma"/>
        </w:rPr>
        <w:t>= $</w:t>
      </w:r>
      <w:r>
        <w:rPr>
          <w:rFonts w:ascii="Tahoma" w:hAnsi="Tahoma" w:cs="Tahoma"/>
        </w:rPr>
        <w:t>1.452.834</w:t>
      </w: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A7456E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El anterior resultado nos indica que el ente territorial cuenta con suficientes recursos propios para operar.</w:t>
      </w:r>
    </w:p>
    <w:p w:rsidR="008A0D90" w:rsidRPr="00AD4CE9" w:rsidRDefault="008A0D90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NIVEL DE ENDEUDAMIENTO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Este indicador nos presenta el porcentaje de participación de los acreedores dentro de los activos del ente territorial.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Formula: Pasivo Total con Terceros / Activo Total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EC7EF0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$257.299</w:t>
      </w:r>
      <w:r w:rsidR="00310359">
        <w:rPr>
          <w:rFonts w:ascii="Tahoma" w:hAnsi="Tahoma" w:cs="Tahoma"/>
        </w:rPr>
        <w:t>/</w:t>
      </w:r>
      <w:r>
        <w:rPr>
          <w:rFonts w:ascii="Tahoma" w:hAnsi="Tahoma" w:cs="Tahoma"/>
        </w:rPr>
        <w:t>$9.762.080</w:t>
      </w:r>
      <w:r w:rsidR="008A1B70" w:rsidRPr="00AD4CE9">
        <w:rPr>
          <w:rFonts w:ascii="Tahoma" w:hAnsi="Tahoma" w:cs="Tahoma"/>
        </w:rPr>
        <w:t xml:space="preserve"> </w:t>
      </w:r>
      <w:r w:rsidR="003E25A9" w:rsidRPr="00AD4CE9">
        <w:rPr>
          <w:rFonts w:ascii="Tahoma" w:hAnsi="Tahoma" w:cs="Tahoma"/>
        </w:rPr>
        <w:t xml:space="preserve">= </w:t>
      </w:r>
      <w:r>
        <w:rPr>
          <w:rFonts w:ascii="Tahoma" w:hAnsi="Tahoma" w:cs="Tahoma"/>
        </w:rPr>
        <w:t>2.63</w:t>
      </w:r>
      <w:r w:rsidR="003E25A9" w:rsidRPr="00AD4CE9">
        <w:rPr>
          <w:rFonts w:ascii="Tahoma" w:hAnsi="Tahoma" w:cs="Tahoma"/>
        </w:rPr>
        <w:t>%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 xml:space="preserve">El anterior resultado nos indica que del total de activos que posee el municipio, el </w:t>
      </w:r>
      <w:r w:rsidR="00EC7EF0">
        <w:rPr>
          <w:rFonts w:ascii="Tahoma" w:hAnsi="Tahoma" w:cs="Tahoma"/>
        </w:rPr>
        <w:t>2.63</w:t>
      </w:r>
      <w:r w:rsidRPr="00AD4CE9">
        <w:rPr>
          <w:rFonts w:ascii="Tahoma" w:hAnsi="Tahoma" w:cs="Tahoma"/>
        </w:rPr>
        <w:t>% está siendo financiado por los acreedores.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RAZÓN DEL PATRIMONIO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 xml:space="preserve">Nos muestra hasta </w:t>
      </w:r>
      <w:r w:rsidR="009F3F48" w:rsidRPr="00AD4CE9">
        <w:rPr>
          <w:rFonts w:ascii="Tahoma" w:hAnsi="Tahoma" w:cs="Tahoma"/>
        </w:rPr>
        <w:t>qué</w:t>
      </w:r>
      <w:r w:rsidRPr="00AD4CE9">
        <w:rPr>
          <w:rFonts w:ascii="Tahoma" w:hAnsi="Tahoma" w:cs="Tahoma"/>
        </w:rPr>
        <w:t xml:space="preserve"> punto la entidad territorial tiene independencia financiera ante sus acreedores, se determina dividiendo el valor del patrimonio entre el activo total.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lastRenderedPageBreak/>
        <w:t>Formula: Patrimonio Total / Activo Total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764ABD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$</w:t>
      </w:r>
      <w:r w:rsidR="00EC7EF0">
        <w:rPr>
          <w:rFonts w:ascii="Tahoma" w:hAnsi="Tahoma" w:cs="Tahoma"/>
        </w:rPr>
        <w:t>9.429.705</w:t>
      </w:r>
      <w:r w:rsidR="0081495F">
        <w:rPr>
          <w:rFonts w:ascii="Tahoma" w:hAnsi="Tahoma" w:cs="Tahoma"/>
        </w:rPr>
        <w:t xml:space="preserve"> /</w:t>
      </w:r>
      <w:r w:rsidR="00EC7EF0">
        <w:rPr>
          <w:rFonts w:ascii="Tahoma" w:hAnsi="Tahoma" w:cs="Tahoma"/>
        </w:rPr>
        <w:t>$9.762.080</w:t>
      </w:r>
      <w:r w:rsidR="005A36ED" w:rsidRPr="00AD4CE9">
        <w:rPr>
          <w:rFonts w:ascii="Tahoma" w:hAnsi="Tahoma" w:cs="Tahoma"/>
        </w:rPr>
        <w:t xml:space="preserve"> </w:t>
      </w:r>
      <w:r w:rsidR="00EC7EF0">
        <w:rPr>
          <w:rFonts w:ascii="Tahoma" w:hAnsi="Tahoma" w:cs="Tahoma"/>
        </w:rPr>
        <w:t>= 96.59</w:t>
      </w:r>
      <w:r w:rsidRPr="00AD4CE9">
        <w:rPr>
          <w:rFonts w:ascii="Tahoma" w:hAnsi="Tahoma" w:cs="Tahoma"/>
        </w:rPr>
        <w:t>%</w:t>
      </w:r>
    </w:p>
    <w:p w:rsidR="008326D2" w:rsidRPr="00AD4CE9" w:rsidRDefault="008326D2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8326D2" w:rsidRPr="00AD4CE9" w:rsidRDefault="008326D2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El porcentaje establecido a</w:t>
      </w:r>
      <w:r w:rsidR="00402C3D">
        <w:rPr>
          <w:rFonts w:ascii="Tahoma" w:hAnsi="Tahoma" w:cs="Tahoma"/>
        </w:rPr>
        <w:t>nter</w:t>
      </w:r>
      <w:r w:rsidR="00310359">
        <w:rPr>
          <w:rFonts w:ascii="Tahoma" w:hAnsi="Tahoma" w:cs="Tahoma"/>
        </w:rPr>
        <w:t xml:space="preserve">iormente nos indica </w:t>
      </w:r>
      <w:r w:rsidR="00EC7EF0">
        <w:rPr>
          <w:rFonts w:ascii="Tahoma" w:hAnsi="Tahoma" w:cs="Tahoma"/>
        </w:rPr>
        <w:t>que el 96.59</w:t>
      </w:r>
      <w:r w:rsidRPr="00AD4CE9">
        <w:rPr>
          <w:rFonts w:ascii="Tahoma" w:hAnsi="Tahoma" w:cs="Tahoma"/>
        </w:rPr>
        <w:t>% de los activos, están siendo financiados con capital propio.</w:t>
      </w:r>
    </w:p>
    <w:p w:rsidR="006756E8" w:rsidRPr="00AD4CE9" w:rsidRDefault="006756E8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6756E8" w:rsidRPr="00AD4CE9" w:rsidRDefault="006756E8" w:rsidP="002443C3">
      <w:pPr>
        <w:pStyle w:val="Prrafodelista"/>
        <w:numPr>
          <w:ilvl w:val="0"/>
          <w:numId w:val="1"/>
        </w:numPr>
        <w:spacing w:before="0" w:after="0" w:line="228" w:lineRule="auto"/>
        <w:jc w:val="both"/>
        <w:rPr>
          <w:rFonts w:ascii="Tahoma" w:hAnsi="Tahoma" w:cs="Tahoma"/>
          <w:b/>
        </w:rPr>
      </w:pPr>
      <w:r w:rsidRPr="00AD4CE9">
        <w:rPr>
          <w:rFonts w:ascii="Tahoma" w:hAnsi="Tahoma" w:cs="Tahoma"/>
          <w:b/>
        </w:rPr>
        <w:t>CONCEPTUALIZACION SO</w:t>
      </w:r>
      <w:r w:rsidR="00402C3D">
        <w:rPr>
          <w:rFonts w:ascii="Tahoma" w:hAnsi="Tahoma" w:cs="Tahoma"/>
          <w:b/>
        </w:rPr>
        <w:t>BRE LOS ESTADOS FINANCIEROS 2015</w:t>
      </w:r>
    </w:p>
    <w:p w:rsidR="006756E8" w:rsidRPr="00AD4CE9" w:rsidRDefault="006756E8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6756E8" w:rsidRPr="00AD4CE9" w:rsidRDefault="00EC7EF0" w:rsidP="00EC7EF0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El municipio de Villahermosa</w:t>
      </w:r>
      <w:r w:rsidR="00402C3D">
        <w:rPr>
          <w:rFonts w:ascii="Tahoma" w:hAnsi="Tahoma" w:cs="Tahoma"/>
        </w:rPr>
        <w:t xml:space="preserve"> </w:t>
      </w:r>
      <w:r w:rsidR="006756E8" w:rsidRPr="00AD4CE9">
        <w:rPr>
          <w:rFonts w:ascii="Tahoma" w:hAnsi="Tahoma" w:cs="Tahoma"/>
        </w:rPr>
        <w:t xml:space="preserve"> de</w:t>
      </w:r>
      <w:r w:rsidR="005A36ED" w:rsidRPr="00AD4CE9">
        <w:rPr>
          <w:rFonts w:ascii="Tahoma" w:hAnsi="Tahoma" w:cs="Tahoma"/>
        </w:rPr>
        <w:t xml:space="preserve"> </w:t>
      </w:r>
      <w:r w:rsidR="006756E8" w:rsidRPr="00AD4CE9">
        <w:rPr>
          <w:rFonts w:ascii="Tahoma" w:hAnsi="Tahoma" w:cs="Tahoma"/>
        </w:rPr>
        <w:t xml:space="preserve">acuerdo con su Balance General terminado en la fecha, se observa que sus activos totales </w:t>
      </w:r>
      <w:r>
        <w:rPr>
          <w:rFonts w:ascii="Tahoma" w:hAnsi="Tahoma" w:cs="Tahoma"/>
        </w:rPr>
        <w:t xml:space="preserve">presentaron un decrecimiento del </w:t>
      </w:r>
      <w:r w:rsidR="006756E8" w:rsidRPr="00AD4CE9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-20.69% en la suma de  $</w:t>
      </w:r>
      <w:r w:rsidRPr="00EC7EF0">
        <w:rPr>
          <w:sz w:val="18"/>
          <w:szCs w:val="18"/>
        </w:rPr>
        <w:t xml:space="preserve"> </w:t>
      </w:r>
      <w:r>
        <w:rPr>
          <w:rFonts w:eastAsia="Times New Roman"/>
          <w:color w:val="auto"/>
          <w:sz w:val="18"/>
          <w:szCs w:val="18"/>
        </w:rPr>
        <w:t>-2.547.185</w:t>
      </w:r>
      <w:r w:rsidR="00DA56F4">
        <w:rPr>
          <w:rFonts w:eastAsia="Times New Roman"/>
          <w:color w:val="auto"/>
          <w:sz w:val="18"/>
          <w:szCs w:val="18"/>
        </w:rPr>
        <w:t xml:space="preserve"> </w:t>
      </w:r>
      <w:r w:rsidR="006756E8" w:rsidRPr="00AD4CE9">
        <w:rPr>
          <w:rFonts w:ascii="Tahoma" w:hAnsi="Tahoma" w:cs="Tahoma"/>
        </w:rPr>
        <w:t>(mi</w:t>
      </w:r>
      <w:r w:rsidR="00402C3D">
        <w:rPr>
          <w:rFonts w:ascii="Tahoma" w:hAnsi="Tahoma" w:cs="Tahoma"/>
        </w:rPr>
        <w:t>l</w:t>
      </w:r>
      <w:r w:rsidR="006756E8" w:rsidRPr="00AD4CE9">
        <w:rPr>
          <w:rFonts w:ascii="Tahoma" w:hAnsi="Tahoma" w:cs="Tahoma"/>
        </w:rPr>
        <w:t xml:space="preserve">es de </w:t>
      </w:r>
      <w:r w:rsidR="00402C3D">
        <w:rPr>
          <w:rFonts w:ascii="Tahoma" w:hAnsi="Tahoma" w:cs="Tahoma"/>
        </w:rPr>
        <w:t>$), con relación al periodo 2014</w:t>
      </w:r>
      <w:r w:rsidR="006756E8" w:rsidRPr="00AD4CE9">
        <w:rPr>
          <w:rFonts w:ascii="Tahoma" w:hAnsi="Tahoma" w:cs="Tahoma"/>
        </w:rPr>
        <w:t>, reflejados en las cuentas Depósitos en Inst</w:t>
      </w:r>
      <w:r w:rsidR="00DA56F4">
        <w:rPr>
          <w:rFonts w:ascii="Tahoma" w:hAnsi="Tahoma" w:cs="Tahoma"/>
        </w:rPr>
        <w:t>ituciones Financieras y Rentas por Cobrar</w:t>
      </w:r>
      <w:r w:rsidR="006756E8" w:rsidRPr="00AD4CE9">
        <w:rPr>
          <w:rFonts w:ascii="Tahoma" w:hAnsi="Tahoma" w:cs="Tahoma"/>
        </w:rPr>
        <w:t>.</w:t>
      </w:r>
    </w:p>
    <w:p w:rsidR="006756E8" w:rsidRPr="00AD4CE9" w:rsidRDefault="006756E8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6756E8" w:rsidRDefault="002613E4" w:rsidP="00DA56F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Su patrimonio</w:t>
      </w:r>
      <w:r w:rsidR="00DA56F4">
        <w:rPr>
          <w:rFonts w:ascii="Tahoma" w:hAnsi="Tahoma" w:cs="Tahoma"/>
        </w:rPr>
        <w:t xml:space="preserve"> de igual forma presentó un decrecimiento del -21.46%,</w:t>
      </w:r>
      <w:r w:rsidR="006756E8" w:rsidRPr="00AD4CE9">
        <w:rPr>
          <w:rFonts w:ascii="Tahoma" w:hAnsi="Tahoma" w:cs="Tahoma"/>
        </w:rPr>
        <w:t xml:space="preserve"> apalancado principalmente por la cuenta </w:t>
      </w:r>
      <w:r w:rsidR="00DA56F4">
        <w:rPr>
          <w:rFonts w:ascii="Tahoma" w:hAnsi="Tahoma" w:cs="Tahoma"/>
        </w:rPr>
        <w:t>de Capital Fiscal</w:t>
      </w:r>
      <w:r>
        <w:rPr>
          <w:rFonts w:ascii="Tahoma" w:hAnsi="Tahoma" w:cs="Tahoma"/>
        </w:rPr>
        <w:t xml:space="preserve">, </w:t>
      </w:r>
      <w:r w:rsidR="00B74E57">
        <w:rPr>
          <w:rFonts w:ascii="Tahoma" w:hAnsi="Tahoma" w:cs="Tahoma"/>
        </w:rPr>
        <w:t xml:space="preserve"> que p</w:t>
      </w:r>
      <w:r>
        <w:rPr>
          <w:rFonts w:ascii="Tahoma" w:hAnsi="Tahoma" w:cs="Tahoma"/>
        </w:rPr>
        <w:t>re</w:t>
      </w:r>
      <w:r w:rsidR="00DA56F4">
        <w:rPr>
          <w:rFonts w:ascii="Tahoma" w:hAnsi="Tahoma" w:cs="Tahoma"/>
        </w:rPr>
        <w:t>sentó</w:t>
      </w:r>
      <w:r>
        <w:rPr>
          <w:rFonts w:ascii="Tahoma" w:hAnsi="Tahoma" w:cs="Tahoma"/>
        </w:rPr>
        <w:t xml:space="preserve"> un</w:t>
      </w:r>
      <w:r w:rsidR="00DA56F4">
        <w:rPr>
          <w:rFonts w:ascii="Tahoma" w:hAnsi="Tahoma" w:cs="Tahoma"/>
        </w:rPr>
        <w:t xml:space="preserve">a decadencia </w:t>
      </w:r>
      <w:r>
        <w:rPr>
          <w:rFonts w:ascii="Tahoma" w:hAnsi="Tahoma" w:cs="Tahoma"/>
        </w:rPr>
        <w:t xml:space="preserve"> del </w:t>
      </w:r>
      <w:r w:rsidR="00DA56F4">
        <w:rPr>
          <w:rFonts w:ascii="Tahoma" w:hAnsi="Tahoma" w:cs="Tahoma"/>
        </w:rPr>
        <w:t>-26.20</w:t>
      </w:r>
      <w:r w:rsidR="00B74E57">
        <w:rPr>
          <w:rFonts w:ascii="Tahoma" w:hAnsi="Tahoma" w:cs="Tahoma"/>
        </w:rPr>
        <w:t>%</w:t>
      </w:r>
      <w:r w:rsidR="000D2062" w:rsidRPr="00AD4CE9">
        <w:rPr>
          <w:rFonts w:ascii="Tahoma" w:hAnsi="Tahoma" w:cs="Tahoma"/>
        </w:rPr>
        <w:t xml:space="preserve"> </w:t>
      </w:r>
      <w:r w:rsidR="00DA56F4">
        <w:rPr>
          <w:rFonts w:ascii="Tahoma" w:hAnsi="Tahoma" w:cs="Tahoma"/>
        </w:rPr>
        <w:t xml:space="preserve"> representados en </w:t>
      </w:r>
      <w:r w:rsidR="000D2062" w:rsidRPr="00AD4CE9">
        <w:rPr>
          <w:rFonts w:ascii="Tahoma" w:hAnsi="Tahoma" w:cs="Tahoma"/>
        </w:rPr>
        <w:t xml:space="preserve"> $</w:t>
      </w:r>
      <w:r w:rsidR="00DA56F4" w:rsidRPr="00DA56F4">
        <w:rPr>
          <w:sz w:val="18"/>
          <w:szCs w:val="18"/>
        </w:rPr>
        <w:t xml:space="preserve"> </w:t>
      </w:r>
      <w:r w:rsidR="00DA56F4" w:rsidRPr="00DA56F4">
        <w:rPr>
          <w:rFonts w:eastAsia="Times New Roman"/>
          <w:color w:val="auto"/>
          <w:sz w:val="18"/>
          <w:szCs w:val="18"/>
        </w:rPr>
        <w:t>-2.933.672,00</w:t>
      </w:r>
      <w:r w:rsidR="00DA56F4">
        <w:rPr>
          <w:rFonts w:eastAsia="Times New Roman"/>
          <w:color w:val="auto"/>
          <w:sz w:val="18"/>
          <w:szCs w:val="18"/>
        </w:rPr>
        <w:t xml:space="preserve"> </w:t>
      </w:r>
      <w:r w:rsidR="000D2062" w:rsidRPr="00AD4CE9">
        <w:rPr>
          <w:rFonts w:ascii="Tahoma" w:hAnsi="Tahoma" w:cs="Tahoma"/>
        </w:rPr>
        <w:t xml:space="preserve"> miles de </w:t>
      </w:r>
      <w:r w:rsidR="00B74E57">
        <w:rPr>
          <w:rFonts w:ascii="Tahoma" w:hAnsi="Tahoma" w:cs="Tahoma"/>
        </w:rPr>
        <w:t>millones.</w:t>
      </w:r>
    </w:p>
    <w:p w:rsidR="00AD4CE9" w:rsidRPr="00AD4CE9" w:rsidRDefault="00AD4CE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0D2062" w:rsidRPr="00AD4CE9" w:rsidRDefault="000D2062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 xml:space="preserve">Su estructura financiera al </w:t>
      </w:r>
      <w:r w:rsidR="00402C3D">
        <w:rPr>
          <w:rFonts w:ascii="Tahoma" w:hAnsi="Tahoma" w:cs="Tahoma"/>
        </w:rPr>
        <w:t>cierre del periodo contable 2015</w:t>
      </w:r>
      <w:r w:rsidR="00B74E57">
        <w:rPr>
          <w:rFonts w:ascii="Tahoma" w:hAnsi="Tahoma" w:cs="Tahoma"/>
        </w:rPr>
        <w:t>, estaba representad</w:t>
      </w:r>
      <w:r w:rsidR="00DA56F4">
        <w:rPr>
          <w:rFonts w:ascii="Tahoma" w:hAnsi="Tahoma" w:cs="Tahoma"/>
        </w:rPr>
        <w:t>a en el 3.41% los pasivos y el 96.59</w:t>
      </w:r>
      <w:r w:rsidRPr="00AD4CE9">
        <w:rPr>
          <w:rFonts w:ascii="Tahoma" w:hAnsi="Tahoma" w:cs="Tahoma"/>
        </w:rPr>
        <w:t>% el patrimonio.</w:t>
      </w:r>
    </w:p>
    <w:p w:rsidR="000D2062" w:rsidRPr="00AD4CE9" w:rsidRDefault="000D2062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0D2062" w:rsidRPr="00AD4CE9" w:rsidRDefault="000D2062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 xml:space="preserve">El municipio presenta un nivel de endeudamiento bajo respecto al total de sus activos, alcanzando un margen del </w:t>
      </w:r>
      <w:r w:rsidR="00DA56F4">
        <w:rPr>
          <w:rFonts w:ascii="Tahoma" w:hAnsi="Tahoma" w:cs="Tahoma"/>
        </w:rPr>
        <w:t>2.63</w:t>
      </w:r>
      <w:r w:rsidRPr="00AD4CE9">
        <w:rPr>
          <w:rFonts w:ascii="Tahoma" w:hAnsi="Tahoma" w:cs="Tahoma"/>
        </w:rPr>
        <w:t>%.</w:t>
      </w:r>
    </w:p>
    <w:p w:rsidR="000D2062" w:rsidRPr="00AD4CE9" w:rsidRDefault="000D2062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A7456E" w:rsidRPr="00AD4CE9" w:rsidRDefault="000D2062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 xml:space="preserve">De acuerdo con los resultados de sus indicadores </w:t>
      </w:r>
      <w:r w:rsidR="00C83948" w:rsidRPr="00AD4CE9">
        <w:rPr>
          <w:rFonts w:ascii="Tahoma" w:hAnsi="Tahoma" w:cs="Tahoma"/>
        </w:rPr>
        <w:t>podemo</w:t>
      </w:r>
      <w:r w:rsidR="00273691">
        <w:rPr>
          <w:rFonts w:ascii="Tahoma" w:hAnsi="Tahoma" w:cs="Tahoma"/>
        </w:rPr>
        <w:t>s concl</w:t>
      </w:r>
      <w:r w:rsidR="00402C3D">
        <w:rPr>
          <w:rFonts w:ascii="Tahoma" w:hAnsi="Tahoma" w:cs="Tahoma"/>
        </w:rPr>
        <w:t>uir que el municip</w:t>
      </w:r>
      <w:r w:rsidR="00DA56F4">
        <w:rPr>
          <w:rFonts w:ascii="Tahoma" w:hAnsi="Tahoma" w:cs="Tahoma"/>
        </w:rPr>
        <w:t xml:space="preserve">io de Villahermosa </w:t>
      </w:r>
      <w:r w:rsidR="00273691">
        <w:rPr>
          <w:rFonts w:ascii="Tahoma" w:hAnsi="Tahoma" w:cs="Tahoma"/>
        </w:rPr>
        <w:t xml:space="preserve"> </w:t>
      </w:r>
      <w:r w:rsidR="00C83948" w:rsidRPr="00AD4CE9">
        <w:rPr>
          <w:rFonts w:ascii="Tahoma" w:hAnsi="Tahoma" w:cs="Tahoma"/>
        </w:rPr>
        <w:t>al corte del 3</w:t>
      </w:r>
      <w:r w:rsidR="00273691">
        <w:rPr>
          <w:rFonts w:ascii="Tahoma" w:hAnsi="Tahoma" w:cs="Tahoma"/>
        </w:rPr>
        <w:t>1</w:t>
      </w:r>
      <w:r w:rsidR="00402C3D">
        <w:rPr>
          <w:rFonts w:ascii="Tahoma" w:hAnsi="Tahoma" w:cs="Tahoma"/>
        </w:rPr>
        <w:t xml:space="preserve"> de diciembre de 2015</w:t>
      </w:r>
      <w:r w:rsidR="00C83948" w:rsidRPr="00AD4CE9">
        <w:rPr>
          <w:rFonts w:ascii="Tahoma" w:hAnsi="Tahoma" w:cs="Tahoma"/>
        </w:rPr>
        <w:t>, presentaba una situación financiera favorable.</w:t>
      </w:r>
    </w:p>
    <w:sectPr w:rsidR="00A7456E" w:rsidRPr="00AD4CE9" w:rsidSect="0070007C">
      <w:headerReference w:type="default" r:id="rId12"/>
      <w:footerReference w:type="default" r:id="rId13"/>
      <w:pgSz w:w="12242" w:h="15842" w:code="1"/>
      <w:pgMar w:top="2376" w:right="1701" w:bottom="2268" w:left="1701" w:header="180" w:footer="191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377D" w:rsidRDefault="00C5377D" w:rsidP="00650A99">
      <w:r>
        <w:separator/>
      </w:r>
    </w:p>
  </w:endnote>
  <w:endnote w:type="continuationSeparator" w:id="0">
    <w:p w:rsidR="00C5377D" w:rsidRDefault="00C5377D" w:rsidP="00650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0981" w:rsidRPr="00070555" w:rsidRDefault="002F54E8">
    <w:pPr>
      <w:pStyle w:val="Piedepgina"/>
      <w:rPr>
        <w:rFonts w:ascii="Tahoma" w:hAnsi="Tahoma" w:cs="Tahoma"/>
        <w:sz w:val="14"/>
        <w:szCs w:val="20"/>
      </w:rPr>
    </w:pPr>
    <w:r>
      <w:rPr>
        <w:rFonts w:ascii="Tahoma" w:hAnsi="Tahoma" w:cs="Tahoma"/>
        <w:noProof/>
        <w:sz w:val="14"/>
        <w:szCs w:val="20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A1233F6" wp14:editId="27605CC7">
              <wp:simplePos x="0" y="0"/>
              <wp:positionH relativeFrom="column">
                <wp:posOffset>2510790</wp:posOffset>
              </wp:positionH>
              <wp:positionV relativeFrom="paragraph">
                <wp:posOffset>28575</wp:posOffset>
              </wp:positionV>
              <wp:extent cx="1190625" cy="297815"/>
              <wp:effectExtent l="0" t="0" r="0" b="0"/>
              <wp:wrapNone/>
              <wp:docPr id="4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0625" cy="2978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D0981" w:rsidRPr="003205FF" w:rsidRDefault="00440EAB" w:rsidP="00B6483D">
                          <w:pPr>
                            <w:jc w:val="center"/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</w:pP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begin"/>
                          </w:r>
                          <w:r w:rsidR="003205FF"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instrText>PAGE  \* Arabic  \* MERGEFORMAT</w:instrText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separate"/>
                          </w:r>
                          <w:r w:rsidR="00627130" w:rsidRPr="00627130">
                            <w:rPr>
                              <w:rFonts w:ascii="Tahoma" w:hAnsi="Tahoma" w:cs="Tahoma"/>
                              <w:noProof/>
                              <w:sz w:val="14"/>
                              <w:szCs w:val="16"/>
                              <w:lang w:val="es-ES"/>
                            </w:rPr>
                            <w:t>8</w:t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end"/>
                          </w:r>
                          <w:r w:rsidR="003205FF" w:rsidRPr="003205FF">
                            <w:rPr>
                              <w:rFonts w:ascii="Tahoma" w:hAnsi="Tahoma" w:cs="Tahoma"/>
                              <w:sz w:val="12"/>
                              <w:szCs w:val="16"/>
                              <w:lang w:val="es-ES"/>
                            </w:rPr>
                            <w:t xml:space="preserve"> de </w:t>
                          </w:r>
                          <w:fldSimple w:instr="NUMPAGES  \* Arabic  \* MERGEFORMAT">
                            <w:r w:rsidR="00627130" w:rsidRPr="00627130">
                              <w:rPr>
                                <w:rFonts w:ascii="Tahoma" w:hAnsi="Tahoma" w:cs="Tahoma"/>
                                <w:noProof/>
                                <w:sz w:val="14"/>
                                <w:szCs w:val="16"/>
                                <w:lang w:val="es-ES"/>
                              </w:rPr>
                              <w:t>8</w:t>
                            </w:r>
                          </w:fldSimple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A1233F6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197.7pt;margin-top:2.25pt;width:93.75pt;height:23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" filled="f" stroked="f">
              <v:textbox>
                <w:txbxContent>
                  <w:p w:rsidR="00DD0981" w:rsidRPr="003205FF" w:rsidRDefault="00440EAB" w:rsidP="00B6483D">
                    <w:pPr>
                      <w:jc w:val="center"/>
                      <w:rPr>
                        <w:rFonts w:ascii="Tahoma" w:hAnsi="Tahoma" w:cs="Tahoma"/>
                        <w:sz w:val="14"/>
                        <w:szCs w:val="16"/>
                      </w:rPr>
                    </w:pP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begin"/>
                    </w:r>
                    <w:r w:rsidR="003205FF"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instrText>PAGE  \* Arabic  \* MERGEFORMAT</w:instrText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separate"/>
                    </w:r>
                    <w:r w:rsidR="00627130" w:rsidRPr="00627130">
                      <w:rPr>
                        <w:rFonts w:ascii="Tahoma" w:hAnsi="Tahoma" w:cs="Tahoma"/>
                        <w:noProof/>
                        <w:sz w:val="14"/>
                        <w:szCs w:val="16"/>
                        <w:lang w:val="es-ES"/>
                      </w:rPr>
                      <w:t>8</w:t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end"/>
                    </w:r>
                    <w:r w:rsidR="003205FF" w:rsidRPr="003205FF">
                      <w:rPr>
                        <w:rFonts w:ascii="Tahoma" w:hAnsi="Tahoma" w:cs="Tahoma"/>
                        <w:sz w:val="12"/>
                        <w:szCs w:val="16"/>
                        <w:lang w:val="es-ES"/>
                      </w:rPr>
                      <w:t xml:space="preserve"> de </w:t>
                    </w:r>
                    <w:fldSimple w:instr="NUMPAGES  \* Arabic  \* MERGEFORMAT">
                      <w:r w:rsidR="00627130" w:rsidRPr="00627130">
                        <w:rPr>
                          <w:rFonts w:ascii="Tahoma" w:hAnsi="Tahoma" w:cs="Tahoma"/>
                          <w:noProof/>
                          <w:sz w:val="14"/>
                          <w:szCs w:val="16"/>
                          <w:lang w:val="es-ES"/>
                        </w:rPr>
                        <w:t>8</w:t>
                      </w:r>
                    </w:fldSimple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noProof/>
        <w:sz w:val="14"/>
        <w:szCs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6D4143D" wp14:editId="011928C1">
              <wp:simplePos x="0" y="0"/>
              <wp:positionH relativeFrom="column">
                <wp:posOffset>3162935</wp:posOffset>
              </wp:positionH>
              <wp:positionV relativeFrom="paragraph">
                <wp:posOffset>79375</wp:posOffset>
              </wp:positionV>
              <wp:extent cx="3453130" cy="1376045"/>
              <wp:effectExtent l="0" t="0" r="0" b="0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53130" cy="13760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D0981" w:rsidRDefault="00DD0981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D4143D" id="_x0000_s1027" type="#_x0000_t202" style="position:absolute;margin-left:249.05pt;margin-top:6.25pt;width:271.9pt;height:108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" filled="f" stroked="f">
              <v:textbox>
                <w:txbxContent>
                  <w:p w:rsidR="00DD0981" w:rsidRDefault="00DD0981"/>
                </w:txbxContent>
              </v:textbox>
            </v:shape>
          </w:pict>
        </mc:Fallback>
      </mc:AlternateContent>
    </w:r>
  </w:p>
  <w:p w:rsidR="00DD0981" w:rsidRPr="00070555" w:rsidRDefault="002F54E8">
    <w:pPr>
      <w:pStyle w:val="Piedepgina"/>
      <w:rPr>
        <w:rFonts w:ascii="Tahoma" w:hAnsi="Tahoma" w:cs="Tahoma"/>
        <w:sz w:val="18"/>
        <w:szCs w:val="18"/>
      </w:rPr>
    </w:pPr>
    <w:r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D3D1741" wp14:editId="6BB1F9B8">
              <wp:simplePos x="0" y="0"/>
              <wp:positionH relativeFrom="column">
                <wp:posOffset>-157480</wp:posOffset>
              </wp:positionH>
              <wp:positionV relativeFrom="paragraph">
                <wp:posOffset>6350</wp:posOffset>
              </wp:positionV>
              <wp:extent cx="2827020" cy="1309370"/>
              <wp:effectExtent l="0" t="0" r="0" b="5080"/>
              <wp:wrapNone/>
              <wp:docPr id="2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27020" cy="130937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205FF" w:rsidRDefault="003205FF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______________________________________</w:t>
                          </w:r>
                        </w:p>
                        <w:p w:rsidR="003205FF" w:rsidRDefault="003205FF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</w:p>
                        <w:p w:rsidR="00DD0981" w:rsidRPr="00BB3D88" w:rsidRDefault="003205FF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Edificio </w:t>
                          </w:r>
                          <w:r w:rsidR="00DD0981"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Gobernación del Tolima, Piso 7 </w:t>
                          </w:r>
                        </w:p>
                        <w:p w:rsidR="003205FF" w:rsidRPr="003205FF" w:rsidRDefault="00627130" w:rsidP="003205FF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Style w:val="Hipervnculo"/>
                              <w:rFonts w:ascii="Tahoma" w:hAnsi="Tahoma" w:cs="Tahoma"/>
                              <w:color w:val="auto"/>
                              <w:sz w:val="18"/>
                              <w:szCs w:val="18"/>
                              <w:u w:val="none"/>
                            </w:rPr>
                          </w:pPr>
                          <w:hyperlink r:id="rId1" w:history="1">
                            <w:r w:rsidR="003205FF" w:rsidRPr="003205FF">
                              <w:rPr>
                                <w:rStyle w:val="Hipervnculo"/>
                                <w:rFonts w:ascii="Tahoma" w:hAnsi="Tahoma" w:cs="Tahoma"/>
                                <w:color w:val="auto"/>
                                <w:sz w:val="18"/>
                                <w:szCs w:val="18"/>
                                <w:u w:val="none"/>
                              </w:rPr>
                              <w:t>despacho.contraloria@contraloriatolima.gov.co</w:t>
                            </w:r>
                          </w:hyperlink>
                        </w:p>
                        <w:p w:rsidR="00DD0981" w:rsidRPr="000352F0" w:rsidRDefault="00DD0981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Style w:val="Hipervnculo"/>
                              <w:rFonts w:ascii="Tahoma" w:hAnsi="Tahoma" w:cs="Tahoma"/>
                              <w:color w:val="auto"/>
                              <w:sz w:val="18"/>
                              <w:szCs w:val="18"/>
                              <w:u w:val="none"/>
                            </w:rPr>
                          </w:pPr>
                          <w:r w:rsidRPr="000352F0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Web-</w:t>
                          </w:r>
                          <w:proofErr w:type="spellStart"/>
                          <w:r w:rsidRPr="000352F0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Site</w:t>
                          </w:r>
                          <w:proofErr w:type="spellEnd"/>
                          <w:r w:rsidRPr="000352F0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:  </w:t>
                          </w:r>
                          <w:hyperlink r:id="rId2" w:history="1">
                            <w:r w:rsidRPr="000352F0">
                              <w:rPr>
                                <w:rStyle w:val="Hipervnculo"/>
                                <w:rFonts w:ascii="Tahoma" w:hAnsi="Tahoma" w:cs="Tahoma"/>
                                <w:color w:val="auto"/>
                                <w:sz w:val="18"/>
                                <w:szCs w:val="18"/>
                                <w:u w:val="none"/>
                              </w:rPr>
                              <w:t>www.contraloriatolima.gov.co</w:t>
                            </w:r>
                          </w:hyperlink>
                        </w:p>
                        <w:p w:rsidR="00DD0981" w:rsidRPr="00BB3D88" w:rsidRDefault="003205FF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PBX: 2 </w:t>
                          </w:r>
                          <w:r w:rsidR="00DD0981"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61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 </w:t>
                          </w:r>
                          <w:r w:rsidR="00DD0981"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11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 </w:t>
                          </w:r>
                          <w:r w:rsidR="00DD0981"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67 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/ 2 61 11 69</w:t>
                          </w:r>
                        </w:p>
                        <w:p w:rsidR="00DD0981" w:rsidRPr="00A926CE" w:rsidRDefault="00DD0981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20"/>
                            </w:rPr>
                          </w:pPr>
                          <w:r w:rsidRPr="00A926CE">
                            <w:rPr>
                              <w:rFonts w:ascii="Tahoma" w:hAnsi="Tahoma" w:cs="Tahoma"/>
                              <w:sz w:val="18"/>
                              <w:szCs w:val="20"/>
                            </w:rPr>
                            <w:t>NIT: 890.706.847-1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D3D1741" id="_x0000_s1028" type="#_x0000_t202" style="position:absolute;margin-left:-12.4pt;margin-top:.5pt;width:222.6pt;height:103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" filled="f" stroked="f">
              <v:textbox>
                <w:txbxContent>
                  <w:p w:rsidR="003205FF" w:rsidRDefault="003205FF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>______________________________________</w:t>
                    </w:r>
                  </w:p>
                  <w:p w:rsidR="003205FF" w:rsidRDefault="003205FF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</w:p>
                  <w:p w:rsidR="00DD0981" w:rsidRPr="00BB3D88" w:rsidRDefault="003205FF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Edificio </w:t>
                    </w:r>
                    <w:r w:rsidR="00DD0981"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Gobernación del Tolima, Piso 7 </w:t>
                    </w:r>
                  </w:p>
                  <w:p w:rsidR="003205FF" w:rsidRPr="003205FF" w:rsidRDefault="00627130" w:rsidP="003205FF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Style w:val="Hipervnculo"/>
                        <w:rFonts w:ascii="Tahoma" w:hAnsi="Tahoma" w:cs="Tahoma"/>
                        <w:color w:val="auto"/>
                        <w:sz w:val="18"/>
                        <w:szCs w:val="18"/>
                        <w:u w:val="none"/>
                      </w:rPr>
                    </w:pPr>
                    <w:hyperlink r:id="rId3" w:history="1">
                      <w:r w:rsidR="003205FF" w:rsidRPr="003205FF">
                        <w:rPr>
                          <w:rStyle w:val="Hipervnculo"/>
                          <w:rFonts w:ascii="Tahoma" w:hAnsi="Tahoma" w:cs="Tahoma"/>
                          <w:color w:val="auto"/>
                          <w:sz w:val="18"/>
                          <w:szCs w:val="18"/>
                          <w:u w:val="none"/>
                        </w:rPr>
                        <w:t>despacho.contraloria@contraloriatolima.gov.co</w:t>
                      </w:r>
                    </w:hyperlink>
                  </w:p>
                  <w:p w:rsidR="00DD0981" w:rsidRPr="000352F0" w:rsidRDefault="00DD0981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Style w:val="Hipervnculo"/>
                        <w:rFonts w:ascii="Tahoma" w:hAnsi="Tahoma" w:cs="Tahoma"/>
                        <w:color w:val="auto"/>
                        <w:sz w:val="18"/>
                        <w:szCs w:val="18"/>
                        <w:u w:val="none"/>
                      </w:rPr>
                    </w:pPr>
                    <w:r w:rsidRPr="000352F0">
                      <w:rPr>
                        <w:rFonts w:ascii="Tahoma" w:hAnsi="Tahoma" w:cs="Tahoma"/>
                        <w:sz w:val="18"/>
                        <w:szCs w:val="18"/>
                      </w:rPr>
                      <w:t>Web-</w:t>
                    </w:r>
                    <w:proofErr w:type="spellStart"/>
                    <w:r w:rsidRPr="000352F0">
                      <w:rPr>
                        <w:rFonts w:ascii="Tahoma" w:hAnsi="Tahoma" w:cs="Tahoma"/>
                        <w:sz w:val="18"/>
                        <w:szCs w:val="18"/>
                      </w:rPr>
                      <w:t>Site</w:t>
                    </w:r>
                    <w:proofErr w:type="spellEnd"/>
                    <w:r w:rsidRPr="000352F0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:  </w:t>
                    </w:r>
                    <w:hyperlink r:id="rId4" w:history="1">
                      <w:r w:rsidRPr="000352F0">
                        <w:rPr>
                          <w:rStyle w:val="Hipervnculo"/>
                          <w:rFonts w:ascii="Tahoma" w:hAnsi="Tahoma" w:cs="Tahoma"/>
                          <w:color w:val="auto"/>
                          <w:sz w:val="18"/>
                          <w:szCs w:val="18"/>
                          <w:u w:val="none"/>
                        </w:rPr>
                        <w:t>www.contraloriatolima.gov.co</w:t>
                      </w:r>
                    </w:hyperlink>
                  </w:p>
                  <w:p w:rsidR="00DD0981" w:rsidRPr="00BB3D88" w:rsidRDefault="003205FF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PBX: 2 </w:t>
                    </w:r>
                    <w:r w:rsidR="00DD0981"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>61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 </w:t>
                    </w:r>
                    <w:r w:rsidR="00DD0981"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>11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 </w:t>
                    </w:r>
                    <w:r w:rsidR="00DD0981"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67 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>/ 2 61 11 69</w:t>
                    </w:r>
                  </w:p>
                  <w:p w:rsidR="00DD0981" w:rsidRPr="00A926CE" w:rsidRDefault="00DD0981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20"/>
                      </w:rPr>
                    </w:pPr>
                    <w:r w:rsidRPr="00A926CE">
                      <w:rPr>
                        <w:rFonts w:ascii="Tahoma" w:hAnsi="Tahoma" w:cs="Tahoma"/>
                        <w:sz w:val="18"/>
                        <w:szCs w:val="20"/>
                      </w:rPr>
                      <w:t>NIT: 890.706.847-1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377D" w:rsidRDefault="00C5377D" w:rsidP="00650A99">
      <w:r>
        <w:separator/>
      </w:r>
    </w:p>
  </w:footnote>
  <w:footnote w:type="continuationSeparator" w:id="0">
    <w:p w:rsidR="00C5377D" w:rsidRDefault="00C5377D" w:rsidP="00650A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0981" w:rsidRDefault="0070007C">
    <w:pPr>
      <w:pStyle w:val="Encabezado"/>
    </w:pPr>
    <w:r>
      <w:rPr>
        <w:noProof/>
      </w:rPr>
      <w:drawing>
        <wp:inline distT="0" distB="0" distL="0" distR="0" wp14:anchorId="2C585C6D" wp14:editId="54DE954B">
          <wp:extent cx="1571625" cy="1219200"/>
          <wp:effectExtent l="0" t="0" r="9525" b="0"/>
          <wp:docPr id="2" name="0 Image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0 Imagen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1219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8033D0"/>
    <w:multiLevelType w:val="multilevel"/>
    <w:tmpl w:val="000C0E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>
    <w:nsid w:val="6F9A2C8F"/>
    <w:multiLevelType w:val="multilevel"/>
    <w:tmpl w:val="000C0E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A99"/>
    <w:rsid w:val="00005BD7"/>
    <w:rsid w:val="00014DDB"/>
    <w:rsid w:val="000167CA"/>
    <w:rsid w:val="00025419"/>
    <w:rsid w:val="0003468E"/>
    <w:rsid w:val="000352F0"/>
    <w:rsid w:val="00043E5E"/>
    <w:rsid w:val="00044B50"/>
    <w:rsid w:val="000467A1"/>
    <w:rsid w:val="000479B3"/>
    <w:rsid w:val="0005757F"/>
    <w:rsid w:val="00062A7C"/>
    <w:rsid w:val="00063566"/>
    <w:rsid w:val="00070555"/>
    <w:rsid w:val="0007281C"/>
    <w:rsid w:val="00073152"/>
    <w:rsid w:val="000732A3"/>
    <w:rsid w:val="00074463"/>
    <w:rsid w:val="00074EF9"/>
    <w:rsid w:val="00081AAB"/>
    <w:rsid w:val="00084FFA"/>
    <w:rsid w:val="00090F81"/>
    <w:rsid w:val="000913E2"/>
    <w:rsid w:val="00092D3A"/>
    <w:rsid w:val="00096CAD"/>
    <w:rsid w:val="000971C2"/>
    <w:rsid w:val="000A4FDA"/>
    <w:rsid w:val="000A5F72"/>
    <w:rsid w:val="000B2584"/>
    <w:rsid w:val="000C640F"/>
    <w:rsid w:val="000C699D"/>
    <w:rsid w:val="000D2062"/>
    <w:rsid w:val="000D715E"/>
    <w:rsid w:val="000E117C"/>
    <w:rsid w:val="000E1460"/>
    <w:rsid w:val="000E42DA"/>
    <w:rsid w:val="000E46FA"/>
    <w:rsid w:val="000F1700"/>
    <w:rsid w:val="000F17B4"/>
    <w:rsid w:val="000F3F0A"/>
    <w:rsid w:val="000F4FA1"/>
    <w:rsid w:val="001077DC"/>
    <w:rsid w:val="00115E29"/>
    <w:rsid w:val="00124F58"/>
    <w:rsid w:val="001301DF"/>
    <w:rsid w:val="00131C6D"/>
    <w:rsid w:val="00131E4E"/>
    <w:rsid w:val="00132C47"/>
    <w:rsid w:val="0013431C"/>
    <w:rsid w:val="001361E3"/>
    <w:rsid w:val="0014091C"/>
    <w:rsid w:val="001531E5"/>
    <w:rsid w:val="00154430"/>
    <w:rsid w:val="001605A0"/>
    <w:rsid w:val="00160B31"/>
    <w:rsid w:val="00163663"/>
    <w:rsid w:val="001666F5"/>
    <w:rsid w:val="0017250D"/>
    <w:rsid w:val="001A5473"/>
    <w:rsid w:val="001B7E9B"/>
    <w:rsid w:val="001D30AE"/>
    <w:rsid w:val="001E0386"/>
    <w:rsid w:val="001E19D5"/>
    <w:rsid w:val="001E2459"/>
    <w:rsid w:val="001E6C74"/>
    <w:rsid w:val="001F3E0C"/>
    <w:rsid w:val="00203B8E"/>
    <w:rsid w:val="002049C5"/>
    <w:rsid w:val="00204E7B"/>
    <w:rsid w:val="00216974"/>
    <w:rsid w:val="00217490"/>
    <w:rsid w:val="00221AE2"/>
    <w:rsid w:val="00224140"/>
    <w:rsid w:val="00226503"/>
    <w:rsid w:val="002443C3"/>
    <w:rsid w:val="002467D6"/>
    <w:rsid w:val="00250B2A"/>
    <w:rsid w:val="00254A87"/>
    <w:rsid w:val="002608D4"/>
    <w:rsid w:val="002613E4"/>
    <w:rsid w:val="00267A53"/>
    <w:rsid w:val="002702FE"/>
    <w:rsid w:val="00273691"/>
    <w:rsid w:val="002751D2"/>
    <w:rsid w:val="002855A9"/>
    <w:rsid w:val="00293B22"/>
    <w:rsid w:val="00293DE7"/>
    <w:rsid w:val="00294FB6"/>
    <w:rsid w:val="00297AD1"/>
    <w:rsid w:val="002A1F63"/>
    <w:rsid w:val="002A2125"/>
    <w:rsid w:val="002A5283"/>
    <w:rsid w:val="002B7FD4"/>
    <w:rsid w:val="002C24CB"/>
    <w:rsid w:val="002C31ED"/>
    <w:rsid w:val="002D03DF"/>
    <w:rsid w:val="002D1F42"/>
    <w:rsid w:val="002D3A88"/>
    <w:rsid w:val="002D62AF"/>
    <w:rsid w:val="002D6719"/>
    <w:rsid w:val="002E1436"/>
    <w:rsid w:val="002E7240"/>
    <w:rsid w:val="002F54E8"/>
    <w:rsid w:val="003026A2"/>
    <w:rsid w:val="00303824"/>
    <w:rsid w:val="00306CC6"/>
    <w:rsid w:val="00310359"/>
    <w:rsid w:val="003205FF"/>
    <w:rsid w:val="00321EC8"/>
    <w:rsid w:val="003248EC"/>
    <w:rsid w:val="003305B2"/>
    <w:rsid w:val="00332DE4"/>
    <w:rsid w:val="00334968"/>
    <w:rsid w:val="00341B3E"/>
    <w:rsid w:val="00351487"/>
    <w:rsid w:val="00356B3F"/>
    <w:rsid w:val="00367CB1"/>
    <w:rsid w:val="00372F40"/>
    <w:rsid w:val="00375CC7"/>
    <w:rsid w:val="0039183D"/>
    <w:rsid w:val="00391C14"/>
    <w:rsid w:val="00397766"/>
    <w:rsid w:val="003A5822"/>
    <w:rsid w:val="003B11DD"/>
    <w:rsid w:val="003B72A8"/>
    <w:rsid w:val="003B7F8F"/>
    <w:rsid w:val="003C0774"/>
    <w:rsid w:val="003C5E57"/>
    <w:rsid w:val="003D499A"/>
    <w:rsid w:val="003D5BDF"/>
    <w:rsid w:val="003E25A9"/>
    <w:rsid w:val="003F5E08"/>
    <w:rsid w:val="00402C3D"/>
    <w:rsid w:val="004032C1"/>
    <w:rsid w:val="00407637"/>
    <w:rsid w:val="004120E2"/>
    <w:rsid w:val="00426FB0"/>
    <w:rsid w:val="00430D77"/>
    <w:rsid w:val="00440EAB"/>
    <w:rsid w:val="00452E65"/>
    <w:rsid w:val="00454B8B"/>
    <w:rsid w:val="00460D7E"/>
    <w:rsid w:val="00461871"/>
    <w:rsid w:val="00466271"/>
    <w:rsid w:val="0046718C"/>
    <w:rsid w:val="004674EF"/>
    <w:rsid w:val="00467508"/>
    <w:rsid w:val="00467595"/>
    <w:rsid w:val="0046798A"/>
    <w:rsid w:val="00480FCA"/>
    <w:rsid w:val="0048203B"/>
    <w:rsid w:val="0049303C"/>
    <w:rsid w:val="00496461"/>
    <w:rsid w:val="004A00E3"/>
    <w:rsid w:val="004A31AA"/>
    <w:rsid w:val="004B3739"/>
    <w:rsid w:val="004C10FE"/>
    <w:rsid w:val="004C250E"/>
    <w:rsid w:val="004C27B6"/>
    <w:rsid w:val="004C2EA2"/>
    <w:rsid w:val="004E17F3"/>
    <w:rsid w:val="004E3F57"/>
    <w:rsid w:val="004E585C"/>
    <w:rsid w:val="004F2F93"/>
    <w:rsid w:val="004F4C50"/>
    <w:rsid w:val="00506345"/>
    <w:rsid w:val="00516E68"/>
    <w:rsid w:val="00520FA4"/>
    <w:rsid w:val="0052650A"/>
    <w:rsid w:val="005279E8"/>
    <w:rsid w:val="0053122D"/>
    <w:rsid w:val="00551920"/>
    <w:rsid w:val="00552A0E"/>
    <w:rsid w:val="00556949"/>
    <w:rsid w:val="00560B0C"/>
    <w:rsid w:val="00560CA3"/>
    <w:rsid w:val="00562B5C"/>
    <w:rsid w:val="00563F32"/>
    <w:rsid w:val="00585BCF"/>
    <w:rsid w:val="00585ED0"/>
    <w:rsid w:val="00590A7E"/>
    <w:rsid w:val="005916D2"/>
    <w:rsid w:val="00595ED2"/>
    <w:rsid w:val="005A36ED"/>
    <w:rsid w:val="005A4F01"/>
    <w:rsid w:val="005B6F12"/>
    <w:rsid w:val="005C163A"/>
    <w:rsid w:val="005C3743"/>
    <w:rsid w:val="005D1D67"/>
    <w:rsid w:val="005D533E"/>
    <w:rsid w:val="005D66B0"/>
    <w:rsid w:val="005E1DE9"/>
    <w:rsid w:val="005E5E78"/>
    <w:rsid w:val="005F356A"/>
    <w:rsid w:val="00602BCB"/>
    <w:rsid w:val="00603AAD"/>
    <w:rsid w:val="00605900"/>
    <w:rsid w:val="006068E9"/>
    <w:rsid w:val="006074FF"/>
    <w:rsid w:val="00615CBC"/>
    <w:rsid w:val="00617A76"/>
    <w:rsid w:val="00617E98"/>
    <w:rsid w:val="0062226C"/>
    <w:rsid w:val="00627130"/>
    <w:rsid w:val="00627A2A"/>
    <w:rsid w:val="00630301"/>
    <w:rsid w:val="006432CC"/>
    <w:rsid w:val="00644A95"/>
    <w:rsid w:val="00650A99"/>
    <w:rsid w:val="00650CCF"/>
    <w:rsid w:val="00652DA3"/>
    <w:rsid w:val="0065368E"/>
    <w:rsid w:val="00654211"/>
    <w:rsid w:val="00670D69"/>
    <w:rsid w:val="00672971"/>
    <w:rsid w:val="006756E8"/>
    <w:rsid w:val="0067758A"/>
    <w:rsid w:val="00682027"/>
    <w:rsid w:val="00687B70"/>
    <w:rsid w:val="00692975"/>
    <w:rsid w:val="006A5FCB"/>
    <w:rsid w:val="006B765E"/>
    <w:rsid w:val="006C051C"/>
    <w:rsid w:val="006D20E4"/>
    <w:rsid w:val="006D2B4A"/>
    <w:rsid w:val="0070007C"/>
    <w:rsid w:val="00700DB0"/>
    <w:rsid w:val="0070120A"/>
    <w:rsid w:val="00702C94"/>
    <w:rsid w:val="007062D9"/>
    <w:rsid w:val="00706545"/>
    <w:rsid w:val="00715B59"/>
    <w:rsid w:val="00745063"/>
    <w:rsid w:val="00747180"/>
    <w:rsid w:val="00754337"/>
    <w:rsid w:val="00764ABD"/>
    <w:rsid w:val="00770276"/>
    <w:rsid w:val="00770ADC"/>
    <w:rsid w:val="00771928"/>
    <w:rsid w:val="00773282"/>
    <w:rsid w:val="00796DDA"/>
    <w:rsid w:val="007B4882"/>
    <w:rsid w:val="007B70F7"/>
    <w:rsid w:val="007C4270"/>
    <w:rsid w:val="007F01B3"/>
    <w:rsid w:val="007F7C04"/>
    <w:rsid w:val="00800EEF"/>
    <w:rsid w:val="008036D7"/>
    <w:rsid w:val="0081495F"/>
    <w:rsid w:val="00814D3D"/>
    <w:rsid w:val="00815D0B"/>
    <w:rsid w:val="00820529"/>
    <w:rsid w:val="00821EDD"/>
    <w:rsid w:val="00827082"/>
    <w:rsid w:val="00832014"/>
    <w:rsid w:val="008326D2"/>
    <w:rsid w:val="0083318E"/>
    <w:rsid w:val="00841203"/>
    <w:rsid w:val="00862966"/>
    <w:rsid w:val="00872CA8"/>
    <w:rsid w:val="008761A0"/>
    <w:rsid w:val="00897455"/>
    <w:rsid w:val="008A0D33"/>
    <w:rsid w:val="008A0D90"/>
    <w:rsid w:val="008A1B70"/>
    <w:rsid w:val="008A5D7F"/>
    <w:rsid w:val="008E2ADB"/>
    <w:rsid w:val="008E40B7"/>
    <w:rsid w:val="008E6775"/>
    <w:rsid w:val="008F6815"/>
    <w:rsid w:val="009058D0"/>
    <w:rsid w:val="00907660"/>
    <w:rsid w:val="00914565"/>
    <w:rsid w:val="00921D04"/>
    <w:rsid w:val="00926B45"/>
    <w:rsid w:val="009339AC"/>
    <w:rsid w:val="00934CE3"/>
    <w:rsid w:val="00942761"/>
    <w:rsid w:val="00942F02"/>
    <w:rsid w:val="00943029"/>
    <w:rsid w:val="009471EB"/>
    <w:rsid w:val="00957662"/>
    <w:rsid w:val="00957C10"/>
    <w:rsid w:val="009606B3"/>
    <w:rsid w:val="00966EAD"/>
    <w:rsid w:val="00974E10"/>
    <w:rsid w:val="0098778A"/>
    <w:rsid w:val="00990B51"/>
    <w:rsid w:val="00991F22"/>
    <w:rsid w:val="009C0615"/>
    <w:rsid w:val="009C4C61"/>
    <w:rsid w:val="009D7ECE"/>
    <w:rsid w:val="009E3411"/>
    <w:rsid w:val="009F0EF0"/>
    <w:rsid w:val="009F3F48"/>
    <w:rsid w:val="00A04FA7"/>
    <w:rsid w:val="00A32BD8"/>
    <w:rsid w:val="00A34FD5"/>
    <w:rsid w:val="00A43B37"/>
    <w:rsid w:val="00A44F64"/>
    <w:rsid w:val="00A47CA0"/>
    <w:rsid w:val="00A57CC2"/>
    <w:rsid w:val="00A642C7"/>
    <w:rsid w:val="00A65971"/>
    <w:rsid w:val="00A73D43"/>
    <w:rsid w:val="00A7456E"/>
    <w:rsid w:val="00A7495A"/>
    <w:rsid w:val="00A839F4"/>
    <w:rsid w:val="00A84657"/>
    <w:rsid w:val="00A85837"/>
    <w:rsid w:val="00A926CE"/>
    <w:rsid w:val="00A9371D"/>
    <w:rsid w:val="00AA22C9"/>
    <w:rsid w:val="00AA75DD"/>
    <w:rsid w:val="00AB37B1"/>
    <w:rsid w:val="00AC2B0C"/>
    <w:rsid w:val="00AC6DD0"/>
    <w:rsid w:val="00AD4CE9"/>
    <w:rsid w:val="00AD56DB"/>
    <w:rsid w:val="00AE45E6"/>
    <w:rsid w:val="00AF71D3"/>
    <w:rsid w:val="00B0252C"/>
    <w:rsid w:val="00B11E2E"/>
    <w:rsid w:val="00B179EC"/>
    <w:rsid w:val="00B17D06"/>
    <w:rsid w:val="00B21A6F"/>
    <w:rsid w:val="00B229DE"/>
    <w:rsid w:val="00B235FD"/>
    <w:rsid w:val="00B245DE"/>
    <w:rsid w:val="00B24CA8"/>
    <w:rsid w:val="00B258AA"/>
    <w:rsid w:val="00B34497"/>
    <w:rsid w:val="00B430BE"/>
    <w:rsid w:val="00B5291B"/>
    <w:rsid w:val="00B63579"/>
    <w:rsid w:val="00B6483D"/>
    <w:rsid w:val="00B65897"/>
    <w:rsid w:val="00B66376"/>
    <w:rsid w:val="00B675C6"/>
    <w:rsid w:val="00B7024B"/>
    <w:rsid w:val="00B74E57"/>
    <w:rsid w:val="00B74F06"/>
    <w:rsid w:val="00B773B4"/>
    <w:rsid w:val="00B83BF2"/>
    <w:rsid w:val="00B8540B"/>
    <w:rsid w:val="00B97673"/>
    <w:rsid w:val="00BB2EB5"/>
    <w:rsid w:val="00BB3D88"/>
    <w:rsid w:val="00BC5D7D"/>
    <w:rsid w:val="00BD1B58"/>
    <w:rsid w:val="00BD3082"/>
    <w:rsid w:val="00BE325A"/>
    <w:rsid w:val="00C0423C"/>
    <w:rsid w:val="00C06948"/>
    <w:rsid w:val="00C20CA8"/>
    <w:rsid w:val="00C276A2"/>
    <w:rsid w:val="00C334D1"/>
    <w:rsid w:val="00C35423"/>
    <w:rsid w:val="00C35A0C"/>
    <w:rsid w:val="00C36BE7"/>
    <w:rsid w:val="00C404DC"/>
    <w:rsid w:val="00C43064"/>
    <w:rsid w:val="00C5377D"/>
    <w:rsid w:val="00C54674"/>
    <w:rsid w:val="00C661A2"/>
    <w:rsid w:val="00C6685D"/>
    <w:rsid w:val="00C70370"/>
    <w:rsid w:val="00C81FC2"/>
    <w:rsid w:val="00C83948"/>
    <w:rsid w:val="00C85741"/>
    <w:rsid w:val="00C86E28"/>
    <w:rsid w:val="00CA340D"/>
    <w:rsid w:val="00CB47E0"/>
    <w:rsid w:val="00CC0170"/>
    <w:rsid w:val="00CC38D6"/>
    <w:rsid w:val="00CC74DC"/>
    <w:rsid w:val="00CD5CCB"/>
    <w:rsid w:val="00CE3D10"/>
    <w:rsid w:val="00CE6524"/>
    <w:rsid w:val="00CF0493"/>
    <w:rsid w:val="00CF6745"/>
    <w:rsid w:val="00D338CD"/>
    <w:rsid w:val="00D42439"/>
    <w:rsid w:val="00D65D04"/>
    <w:rsid w:val="00D718F8"/>
    <w:rsid w:val="00D71C09"/>
    <w:rsid w:val="00D737A1"/>
    <w:rsid w:val="00D774B6"/>
    <w:rsid w:val="00D81436"/>
    <w:rsid w:val="00D85DD3"/>
    <w:rsid w:val="00D9119B"/>
    <w:rsid w:val="00D9131A"/>
    <w:rsid w:val="00D94F59"/>
    <w:rsid w:val="00DA07E0"/>
    <w:rsid w:val="00DA56F4"/>
    <w:rsid w:val="00DA76D0"/>
    <w:rsid w:val="00DB2278"/>
    <w:rsid w:val="00DC4D50"/>
    <w:rsid w:val="00DD0981"/>
    <w:rsid w:val="00DD5CA9"/>
    <w:rsid w:val="00E00EAB"/>
    <w:rsid w:val="00E06024"/>
    <w:rsid w:val="00E16EF6"/>
    <w:rsid w:val="00E35BA6"/>
    <w:rsid w:val="00E37DA4"/>
    <w:rsid w:val="00E42F87"/>
    <w:rsid w:val="00E438FA"/>
    <w:rsid w:val="00E44E11"/>
    <w:rsid w:val="00E562E9"/>
    <w:rsid w:val="00E745B9"/>
    <w:rsid w:val="00E80CF1"/>
    <w:rsid w:val="00EC1442"/>
    <w:rsid w:val="00EC5776"/>
    <w:rsid w:val="00EC7EF0"/>
    <w:rsid w:val="00ED18CB"/>
    <w:rsid w:val="00F067EF"/>
    <w:rsid w:val="00F11CE8"/>
    <w:rsid w:val="00F152E9"/>
    <w:rsid w:val="00F413A2"/>
    <w:rsid w:val="00F56475"/>
    <w:rsid w:val="00F57D5F"/>
    <w:rsid w:val="00F64422"/>
    <w:rsid w:val="00F74A4C"/>
    <w:rsid w:val="00FA4C6D"/>
    <w:rsid w:val="00FB1D70"/>
    <w:rsid w:val="00FC413F"/>
    <w:rsid w:val="00FD1869"/>
    <w:rsid w:val="00FD52EC"/>
    <w:rsid w:val="00FE438F"/>
    <w:rsid w:val="00FE5384"/>
    <w:rsid w:val="00FF5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5:docId w15:val="{3FB09A4B-5F62-42BC-9EE8-701975256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before="100" w:after="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62AF"/>
    <w:rPr>
      <w:rFonts w:ascii="Arial" w:eastAsia="Arial" w:hAnsi="Arial" w:cs="Arial"/>
      <w:color w:val="000000"/>
      <w:lang w:eastAsia="es-CO"/>
    </w:rPr>
  </w:style>
  <w:style w:type="paragraph" w:styleId="Ttulo1">
    <w:name w:val="heading 1"/>
    <w:basedOn w:val="Normal"/>
    <w:next w:val="Normal"/>
    <w:link w:val="Ttulo1Car"/>
    <w:qFormat/>
    <w:rsid w:val="003A5822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Cambria" w:eastAsia="Times New Roman" w:hAnsi="Cambria" w:cs="Times New Roman"/>
      <w:b/>
      <w:bCs/>
      <w:color w:val="auto"/>
      <w:kern w:val="32"/>
      <w:sz w:val="32"/>
      <w:szCs w:val="32"/>
      <w:lang w:val="es-ES" w:eastAsia="es-ES"/>
    </w:rPr>
  </w:style>
  <w:style w:type="paragraph" w:styleId="Ttulo2">
    <w:name w:val="heading 2"/>
    <w:basedOn w:val="Normal"/>
    <w:link w:val="Ttulo2Car"/>
    <w:qFormat/>
    <w:rsid w:val="003A5822"/>
    <w:pPr>
      <w:overflowPunct w:val="0"/>
      <w:autoSpaceDE w:val="0"/>
      <w:autoSpaceDN w:val="0"/>
      <w:adjustRightInd w:val="0"/>
      <w:spacing w:after="100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36"/>
      <w:szCs w:val="20"/>
      <w:lang w:val="es-ES" w:eastAsia="es-ES"/>
    </w:rPr>
  </w:style>
  <w:style w:type="paragraph" w:styleId="Ttulo3">
    <w:name w:val="heading 3"/>
    <w:basedOn w:val="Normal"/>
    <w:link w:val="Ttulo3Car"/>
    <w:qFormat/>
    <w:rsid w:val="003A5822"/>
    <w:pPr>
      <w:overflowPunct w:val="0"/>
      <w:autoSpaceDE w:val="0"/>
      <w:autoSpaceDN w:val="0"/>
      <w:adjustRightInd w:val="0"/>
      <w:spacing w:after="100"/>
      <w:textAlignment w:val="baseline"/>
      <w:outlineLvl w:val="2"/>
    </w:pPr>
    <w:rPr>
      <w:rFonts w:ascii="Times New Roman" w:eastAsia="Times New Roman" w:hAnsi="Times New Roman" w:cs="Times New Roman"/>
      <w:b/>
      <w:color w:val="auto"/>
      <w:sz w:val="27"/>
      <w:szCs w:val="20"/>
      <w:lang w:val="es-ES" w:eastAsia="es-E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A5822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rFonts w:ascii="Calibri" w:eastAsia="Times New Roman" w:hAnsi="Calibri" w:cs="Times New Roman"/>
      <w:b/>
      <w:bCs/>
      <w:i/>
      <w:iCs/>
      <w:color w:val="auto"/>
      <w:sz w:val="26"/>
      <w:szCs w:val="26"/>
      <w:lang w:val="es-ES" w:eastAsia="es-E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A5822"/>
    <w:p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rFonts w:ascii="Calibri" w:eastAsia="Times New Roman" w:hAnsi="Calibri" w:cs="Times New Roman"/>
      <w:b/>
      <w:bCs/>
      <w:color w:val="auto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50A9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0A99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650A9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50A99"/>
  </w:style>
  <w:style w:type="paragraph" w:styleId="Piedepgina">
    <w:name w:val="footer"/>
    <w:basedOn w:val="Normal"/>
    <w:link w:val="PiedepginaCar"/>
    <w:uiPriority w:val="99"/>
    <w:unhideWhenUsed/>
    <w:rsid w:val="00650A9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50A99"/>
  </w:style>
  <w:style w:type="character" w:styleId="Hipervnculo">
    <w:name w:val="Hyperlink"/>
    <w:basedOn w:val="Fuentedeprrafopredeter"/>
    <w:uiPriority w:val="99"/>
    <w:unhideWhenUsed/>
    <w:rsid w:val="00650A99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70D69"/>
    <w:pPr>
      <w:spacing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styleId="Tablaconcuadrcula">
    <w:name w:val="Table Grid"/>
    <w:basedOn w:val="Tablanormal"/>
    <w:uiPriority w:val="59"/>
    <w:rsid w:val="00AE45E6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oindependienteCar">
    <w:name w:val="Texto independiente Car"/>
    <w:aliases w:val="body text Car,bt Car,contents Car,body tesx Car1,body tesx Car Car"/>
    <w:basedOn w:val="Fuentedeprrafopredeter"/>
    <w:link w:val="Textoindependiente"/>
    <w:locked/>
    <w:rsid w:val="006A5FCB"/>
    <w:rPr>
      <w:rFonts w:ascii="Tahoma" w:hAnsi="Tahoma" w:cs="Tahoma"/>
      <w:sz w:val="24"/>
      <w:szCs w:val="24"/>
      <w:lang w:val="es-ES" w:eastAsia="es-ES"/>
    </w:rPr>
  </w:style>
  <w:style w:type="paragraph" w:styleId="Textoindependiente">
    <w:name w:val="Body Text"/>
    <w:aliases w:val="body text,bt,contents,body tesx,body tesx Car"/>
    <w:basedOn w:val="Normal"/>
    <w:link w:val="TextoindependienteCar"/>
    <w:unhideWhenUsed/>
    <w:rsid w:val="006A5FCB"/>
    <w:pPr>
      <w:jc w:val="both"/>
    </w:pPr>
    <w:rPr>
      <w:rFonts w:ascii="Tahoma" w:hAnsi="Tahoma" w:cs="Tahoma"/>
      <w:sz w:val="24"/>
      <w:szCs w:val="24"/>
      <w:lang w:val="es-ES" w:eastAsia="es-ES"/>
    </w:rPr>
  </w:style>
  <w:style w:type="character" w:customStyle="1" w:styleId="TextoindependienteCar1">
    <w:name w:val="Texto independiente Car1"/>
    <w:basedOn w:val="Fuentedeprrafopredeter"/>
    <w:uiPriority w:val="99"/>
    <w:semiHidden/>
    <w:rsid w:val="006A5FCB"/>
  </w:style>
  <w:style w:type="paragraph" w:styleId="Prrafodelista">
    <w:name w:val="List Paragraph"/>
    <w:basedOn w:val="Normal"/>
    <w:uiPriority w:val="34"/>
    <w:qFormat/>
    <w:rsid w:val="006A5FCB"/>
    <w:pPr>
      <w:ind w:left="720"/>
      <w:contextualSpacing/>
    </w:pPr>
  </w:style>
  <w:style w:type="paragraph" w:styleId="Sinespaciado">
    <w:name w:val="No Spacing"/>
    <w:uiPriority w:val="1"/>
    <w:qFormat/>
    <w:rsid w:val="005E5E78"/>
    <w:pPr>
      <w:spacing w:after="0"/>
    </w:pPr>
    <w:rPr>
      <w:rFonts w:ascii="Arial" w:eastAsia="Arial" w:hAnsi="Arial" w:cs="Arial"/>
      <w:color w:val="000000"/>
      <w:lang w:eastAsia="es-CO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3A5822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3A5822"/>
    <w:rPr>
      <w:rFonts w:ascii="Arial" w:eastAsia="Arial" w:hAnsi="Arial" w:cs="Arial"/>
      <w:color w:val="000000"/>
      <w:lang w:eastAsia="es-CO"/>
    </w:rPr>
  </w:style>
  <w:style w:type="paragraph" w:styleId="Textoindependiente3">
    <w:name w:val="Body Text 3"/>
    <w:basedOn w:val="Normal"/>
    <w:link w:val="Textoindependiente3Car"/>
    <w:uiPriority w:val="99"/>
    <w:unhideWhenUsed/>
    <w:rsid w:val="003A5822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3A5822"/>
    <w:rPr>
      <w:rFonts w:ascii="Arial" w:eastAsia="Arial" w:hAnsi="Arial" w:cs="Arial"/>
      <w:color w:val="000000"/>
      <w:sz w:val="16"/>
      <w:szCs w:val="16"/>
      <w:lang w:eastAsia="es-CO"/>
    </w:rPr>
  </w:style>
  <w:style w:type="character" w:customStyle="1" w:styleId="Ttulo1Car">
    <w:name w:val="Título 1 Car"/>
    <w:basedOn w:val="Fuentedeprrafopredeter"/>
    <w:link w:val="Ttulo1"/>
    <w:rsid w:val="003A5822"/>
    <w:rPr>
      <w:rFonts w:ascii="Cambria" w:eastAsia="Times New Roman" w:hAnsi="Cambria" w:cs="Times New Roman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3A5822"/>
    <w:rPr>
      <w:rFonts w:ascii="Times New Roman" w:eastAsia="Times New Roman" w:hAnsi="Times New Roman" w:cs="Times New Roman"/>
      <w:b/>
      <w:sz w:val="36"/>
      <w:szCs w:val="20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3A5822"/>
    <w:rPr>
      <w:rFonts w:ascii="Times New Roman" w:eastAsia="Times New Roman" w:hAnsi="Times New Roman" w:cs="Times New Roman"/>
      <w:b/>
      <w:sz w:val="27"/>
      <w:szCs w:val="20"/>
      <w:lang w:val="es-ES" w:eastAsia="es-E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A5822"/>
    <w:rPr>
      <w:rFonts w:ascii="Calibri" w:eastAsia="Times New Roman" w:hAnsi="Calibri" w:cs="Times New Roman"/>
      <w:b/>
      <w:bCs/>
      <w:i/>
      <w:iCs/>
      <w:sz w:val="26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A5822"/>
    <w:rPr>
      <w:rFonts w:ascii="Calibri" w:eastAsia="Times New Roman" w:hAnsi="Calibri" w:cs="Times New Roman"/>
      <w:b/>
      <w:bCs/>
      <w:lang w:val="es-ES" w:eastAsia="es-ES"/>
    </w:rPr>
  </w:style>
  <w:style w:type="paragraph" w:styleId="Puesto">
    <w:name w:val="Title"/>
    <w:basedOn w:val="Normal"/>
    <w:link w:val="PuestoCar"/>
    <w:qFormat/>
    <w:rsid w:val="003A5822"/>
    <w:pPr>
      <w:jc w:val="center"/>
    </w:pPr>
    <w:rPr>
      <w:rFonts w:ascii="Times New Roman" w:eastAsia="Times New Roman" w:hAnsi="Times New Roman" w:cs="Times New Roman"/>
      <w:b/>
      <w:color w:val="auto"/>
      <w:sz w:val="24"/>
      <w:szCs w:val="20"/>
      <w:lang w:val="es-ES_tradnl" w:eastAsia="es-ES"/>
    </w:rPr>
  </w:style>
  <w:style w:type="character" w:customStyle="1" w:styleId="PuestoCar">
    <w:name w:val="Puesto Car"/>
    <w:basedOn w:val="Fuentedeprrafopredeter"/>
    <w:link w:val="Puesto"/>
    <w:rsid w:val="003A5822"/>
    <w:rPr>
      <w:rFonts w:ascii="Times New Roman" w:eastAsia="Times New Roman" w:hAnsi="Times New Roman" w:cs="Times New Roman"/>
      <w:b/>
      <w:sz w:val="24"/>
      <w:szCs w:val="20"/>
      <w:lang w:val="es-ES_tradnl" w:eastAsia="es-ES"/>
    </w:rPr>
  </w:style>
  <w:style w:type="paragraph" w:customStyle="1" w:styleId="Textosinformato1">
    <w:name w:val="Texto sin formato1"/>
    <w:basedOn w:val="Normal"/>
    <w:rsid w:val="003A5822"/>
    <w:rPr>
      <w:rFonts w:ascii="Courier New" w:eastAsia="Times New Roman" w:hAnsi="Courier New" w:cs="Times New Roman"/>
      <w:color w:val="auto"/>
      <w:sz w:val="20"/>
      <w:szCs w:val="24"/>
      <w:lang w:eastAsia="es-ES"/>
    </w:rPr>
  </w:style>
  <w:style w:type="paragraph" w:customStyle="1" w:styleId="xl53">
    <w:name w:val="xl53"/>
    <w:basedOn w:val="Normal"/>
    <w:rsid w:val="003A5822"/>
    <w:pPr>
      <w:spacing w:beforeAutospacing="1" w:after="100" w:afterAutospacing="1"/>
      <w:jc w:val="center"/>
    </w:pPr>
    <w:rPr>
      <w:rFonts w:eastAsia="Times New Roman"/>
      <w:b/>
      <w:bCs/>
      <w:color w:val="auto"/>
      <w:sz w:val="24"/>
      <w:szCs w:val="24"/>
      <w:lang w:val="es-ES" w:eastAsia="es-ES"/>
    </w:rPr>
  </w:style>
  <w:style w:type="table" w:styleId="Cuadrculaclara-nfasis6">
    <w:name w:val="Light Grid Accent 6"/>
    <w:basedOn w:val="Tablanormal"/>
    <w:uiPriority w:val="62"/>
    <w:rsid w:val="0007281C"/>
    <w:pPr>
      <w:spacing w:before="0" w:after="0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Sangradetextonormal">
    <w:name w:val="Body Text Indent"/>
    <w:basedOn w:val="Normal"/>
    <w:link w:val="SangradetextonormalCar"/>
    <w:uiPriority w:val="99"/>
    <w:unhideWhenUsed/>
    <w:rsid w:val="00B773B4"/>
    <w:pPr>
      <w:spacing w:after="120"/>
      <w:ind w:left="360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B773B4"/>
    <w:rPr>
      <w:rFonts w:ascii="Arial" w:eastAsia="Arial" w:hAnsi="Arial" w:cs="Arial"/>
      <w:color w:val="000000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48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espacho.contraloria@contraloriatolima.gov.co" TargetMode="External"/><Relationship Id="rId2" Type="http://schemas.openxmlformats.org/officeDocument/2006/relationships/hyperlink" Target="http://www.contraloriatolima.gov.co" TargetMode="External"/><Relationship Id="rId1" Type="http://schemas.openxmlformats.org/officeDocument/2006/relationships/hyperlink" Target="mailto:despacho.contraloria@contraloriatolima.gov.co" TargetMode="External"/><Relationship Id="rId4" Type="http://schemas.openxmlformats.org/officeDocument/2006/relationships/hyperlink" Target="http://www.contraloriatolima.gov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2D570D-991E-44D1-A09B-388575A73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1695</TotalTime>
  <Pages>8</Pages>
  <Words>1492</Words>
  <Characters>8206</Characters>
  <Application>Microsoft Office Word</Application>
  <DocSecurity>0</DocSecurity>
  <Lines>68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USER</cp:lastModifiedBy>
  <cp:revision>29</cp:revision>
  <cp:lastPrinted>2016-12-25T22:08:00Z</cp:lastPrinted>
  <dcterms:created xsi:type="dcterms:W3CDTF">2015-09-24T21:09:00Z</dcterms:created>
  <dcterms:modified xsi:type="dcterms:W3CDTF">2016-12-25T22:08:00Z</dcterms:modified>
</cp:coreProperties>
</file>